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C708" w14:textId="77777777" w:rsidR="004F70E3" w:rsidRDefault="004F70E3" w:rsidP="004F70E3">
      <w:pPr>
        <w:jc w:val="center"/>
        <w:rPr>
          <w:rFonts w:ascii="Arial" w:hAnsi="Arial" w:cs="Arial"/>
        </w:rPr>
      </w:pPr>
      <w:r w:rsidRPr="007D233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FICHA TÉCNICA</w:t>
      </w:r>
    </w:p>
    <w:p w14:paraId="4ABA5456" w14:textId="77777777" w:rsidR="004F70E3" w:rsidRPr="002427B2" w:rsidRDefault="004F70E3" w:rsidP="004F70E3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 w:rsidRPr="002427B2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Ciudades Árbol del Mundo</w:t>
      </w:r>
    </w:p>
    <w:p w14:paraId="694241E7" w14:textId="77777777" w:rsidR="004F70E3" w:rsidRDefault="004F70E3" w:rsidP="004F70E3">
      <w:pPr>
        <w:shd w:val="clear" w:color="auto" w:fill="FFFFFF"/>
        <w:jc w:val="center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“</w:t>
      </w:r>
      <w:r w:rsidRPr="002427B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Reconociendo Ciudades más verdes en todo el mundo</w:t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”</w:t>
      </w:r>
    </w:p>
    <w:p w14:paraId="2DE732E1" w14:textId="77777777" w:rsidR="004F70E3" w:rsidRPr="005C491F" w:rsidRDefault="004F70E3" w:rsidP="004F70E3">
      <w:pPr>
        <w:autoSpaceDE w:val="0"/>
        <w:autoSpaceDN w:val="0"/>
        <w:adjustRightInd w:val="0"/>
        <w:ind w:left="604"/>
        <w:jc w:val="both"/>
        <w:rPr>
          <w:rFonts w:ascii="ACaslonPro-Regular" w:hAnsi="ACaslonPro-Regular" w:cs="ACaslonPro-Regular"/>
          <w:i/>
          <w:iCs/>
          <w:color w:val="231F20"/>
        </w:rPr>
      </w:pPr>
      <w:r w:rsidRPr="005C491F">
        <w:rPr>
          <w:rFonts w:ascii="ACaslonPro-Regular" w:hAnsi="ACaslonPro-Regular" w:cs="ACaslonPro-Regular"/>
          <w:i/>
          <w:iCs/>
          <w:color w:val="231F20"/>
        </w:rPr>
        <w:t>MÁS QUE NUNCA, hoy los árboles y los bosques son un componente vital de comunidades saludables, habitables y sostenibles en todo el mundo. Los bosques urbanos ayudan a definir un sentido de pertenencia y bienestar donde las personas viven, trabajan, juegan y aprenden.</w:t>
      </w:r>
    </w:p>
    <w:p w14:paraId="1997B429" w14:textId="77777777" w:rsidR="004F70E3" w:rsidRDefault="004F70E3" w:rsidP="004F70E3">
      <w:pPr>
        <w:autoSpaceDE w:val="0"/>
        <w:autoSpaceDN w:val="0"/>
        <w:adjustRightInd w:val="0"/>
        <w:spacing w:before="120" w:after="120" w:line="252" w:lineRule="auto"/>
        <w:ind w:firstLine="709"/>
        <w:jc w:val="both"/>
        <w:rPr>
          <w:rFonts w:ascii="Century" w:hAnsi="Century" w:cs="ACaslonPro-Regular"/>
          <w:color w:val="231F20"/>
        </w:rPr>
      </w:pPr>
    </w:p>
    <w:p w14:paraId="6BE75B3D" w14:textId="77777777" w:rsidR="004F70E3" w:rsidRDefault="004F70E3" w:rsidP="004F70E3">
      <w:pPr>
        <w:autoSpaceDE w:val="0"/>
        <w:autoSpaceDN w:val="0"/>
        <w:adjustRightInd w:val="0"/>
        <w:spacing w:before="120" w:after="120" w:line="252" w:lineRule="auto"/>
        <w:ind w:firstLine="709"/>
        <w:jc w:val="both"/>
        <w:rPr>
          <w:rFonts w:ascii="Century" w:hAnsi="Century" w:cs="ACaslonPro-Regular"/>
          <w:color w:val="231F20"/>
        </w:rPr>
      </w:pPr>
      <w:r>
        <w:rPr>
          <w:rFonts w:ascii="Century" w:hAnsi="Century" w:cs="ACaslonPro-Regular"/>
          <w:color w:val="231F20"/>
        </w:rPr>
        <w:t>La</w:t>
      </w:r>
      <w:r w:rsidRPr="007E1476">
        <w:rPr>
          <w:rFonts w:ascii="Century" w:hAnsi="Century" w:cs="ACaslonPro-Regular"/>
          <w:color w:val="231F20"/>
        </w:rPr>
        <w:t xml:space="preserve"> iniciativa </w:t>
      </w:r>
      <w:proofErr w:type="spellStart"/>
      <w:r w:rsidRPr="007E1476">
        <w:rPr>
          <w:rFonts w:ascii="Century" w:hAnsi="Century" w:cs="ACaslonPro-Regular"/>
          <w:b/>
          <w:bCs/>
          <w:color w:val="231F20"/>
        </w:rPr>
        <w:t>Tree</w:t>
      </w:r>
      <w:proofErr w:type="spellEnd"/>
      <w:r w:rsidRPr="007E1476">
        <w:rPr>
          <w:rFonts w:ascii="Century" w:hAnsi="Century" w:cs="ACaslonPro-Regular"/>
          <w:b/>
          <w:bCs/>
          <w:color w:val="231F20"/>
        </w:rPr>
        <w:t xml:space="preserve"> </w:t>
      </w:r>
      <w:proofErr w:type="spellStart"/>
      <w:r w:rsidRPr="007E1476">
        <w:rPr>
          <w:rFonts w:ascii="Century" w:hAnsi="Century" w:cs="ACaslonPro-Regular"/>
          <w:b/>
          <w:bCs/>
          <w:color w:val="231F20"/>
        </w:rPr>
        <w:t>Cities</w:t>
      </w:r>
      <w:proofErr w:type="spellEnd"/>
      <w:r w:rsidRPr="007E1476">
        <w:rPr>
          <w:rFonts w:ascii="Century" w:hAnsi="Century" w:cs="ACaslonPro-Regular"/>
          <w:b/>
          <w:bCs/>
          <w:color w:val="231F20"/>
        </w:rPr>
        <w:t xml:space="preserve"> </w:t>
      </w:r>
      <w:proofErr w:type="spellStart"/>
      <w:r w:rsidRPr="007E1476">
        <w:rPr>
          <w:rFonts w:ascii="Century" w:hAnsi="Century" w:cs="ACaslonPro-Regular"/>
          <w:b/>
          <w:bCs/>
          <w:color w:val="231F20"/>
        </w:rPr>
        <w:t>of</w:t>
      </w:r>
      <w:proofErr w:type="spellEnd"/>
      <w:r w:rsidRPr="007E1476">
        <w:rPr>
          <w:rFonts w:ascii="Century" w:hAnsi="Century" w:cs="ACaslonPro-Regular"/>
          <w:b/>
          <w:bCs/>
          <w:color w:val="231F20"/>
        </w:rPr>
        <w:t xml:space="preserve"> </w:t>
      </w:r>
      <w:proofErr w:type="spellStart"/>
      <w:r w:rsidRPr="007E1476">
        <w:rPr>
          <w:rFonts w:ascii="Century" w:hAnsi="Century" w:cs="ACaslonPro-Regular"/>
          <w:b/>
          <w:bCs/>
          <w:color w:val="231F20"/>
        </w:rPr>
        <w:t>the</w:t>
      </w:r>
      <w:proofErr w:type="spellEnd"/>
      <w:r w:rsidRPr="007E1476">
        <w:rPr>
          <w:rFonts w:ascii="Century" w:hAnsi="Century" w:cs="ACaslonPro-Regular"/>
          <w:b/>
          <w:bCs/>
          <w:color w:val="231F20"/>
        </w:rPr>
        <w:t xml:space="preserve"> </w:t>
      </w:r>
      <w:proofErr w:type="spellStart"/>
      <w:r w:rsidRPr="007E1476">
        <w:rPr>
          <w:rFonts w:ascii="Century" w:hAnsi="Century" w:cs="ACaslonPro-Regular"/>
          <w:b/>
          <w:bCs/>
          <w:color w:val="231F20"/>
        </w:rPr>
        <w:t>World</w:t>
      </w:r>
      <w:proofErr w:type="spellEnd"/>
      <w:r w:rsidRPr="007E1476">
        <w:rPr>
          <w:rFonts w:ascii="Century" w:hAnsi="Century" w:cs="ACaslonPro-Regular"/>
          <w:color w:val="231F20"/>
        </w:rPr>
        <w:t xml:space="preserve"> </w:t>
      </w:r>
      <w:r>
        <w:rPr>
          <w:rFonts w:ascii="Century" w:hAnsi="Century" w:cs="ACaslonPro-Regular"/>
          <w:color w:val="231F20"/>
        </w:rPr>
        <w:t xml:space="preserve">es </w:t>
      </w:r>
      <w:r w:rsidRPr="007E1476">
        <w:rPr>
          <w:rFonts w:ascii="Century" w:hAnsi="Century" w:cs="ACaslonPro-Regular"/>
          <w:color w:val="231F20"/>
        </w:rPr>
        <w:t>producto de la alianza entre la Funda</w:t>
      </w:r>
      <w:r>
        <w:rPr>
          <w:rFonts w:ascii="Century" w:hAnsi="Century" w:cs="ACaslonPro-Regular"/>
          <w:color w:val="231F20"/>
        </w:rPr>
        <w:t xml:space="preserve">ción Arbor Day </w:t>
      </w:r>
      <w:proofErr w:type="spellStart"/>
      <w:r>
        <w:rPr>
          <w:rFonts w:ascii="Century" w:hAnsi="Century" w:cs="ACaslonPro-Regular"/>
          <w:color w:val="231F20"/>
        </w:rPr>
        <w:t>Foundation</w:t>
      </w:r>
      <w:proofErr w:type="spellEnd"/>
      <w:r>
        <w:rPr>
          <w:rFonts w:ascii="Century" w:hAnsi="Century" w:cs="ACaslonPro-Regular"/>
          <w:color w:val="231F20"/>
        </w:rPr>
        <w:t xml:space="preserve"> y la </w:t>
      </w:r>
      <w:r w:rsidRPr="007E1476">
        <w:rPr>
          <w:rFonts w:ascii="Century" w:hAnsi="Century" w:cs="ACaslonPro-Regular"/>
          <w:color w:val="231F20"/>
        </w:rPr>
        <w:t>Organización de las Naciones Unidas para la Alimentación y la</w:t>
      </w:r>
      <w:r>
        <w:rPr>
          <w:rFonts w:ascii="Century" w:hAnsi="Century" w:cs="ACaslonPro-Regular"/>
          <w:color w:val="231F20"/>
        </w:rPr>
        <w:t xml:space="preserve"> </w:t>
      </w:r>
      <w:r w:rsidRPr="007E1476">
        <w:rPr>
          <w:rFonts w:ascii="Century" w:hAnsi="Century" w:cs="ACaslonPro-Regular"/>
          <w:color w:val="231F20"/>
        </w:rPr>
        <w:t>Agricultura (FAO, por sus siglas en inglés).</w:t>
      </w:r>
    </w:p>
    <w:p w14:paraId="25A424E7" w14:textId="77777777" w:rsidR="004F70E3" w:rsidRPr="007E1476" w:rsidRDefault="004F70E3" w:rsidP="004F70E3">
      <w:pPr>
        <w:autoSpaceDE w:val="0"/>
        <w:autoSpaceDN w:val="0"/>
        <w:adjustRightInd w:val="0"/>
        <w:spacing w:before="120" w:after="120" w:line="252" w:lineRule="auto"/>
        <w:ind w:firstLine="709"/>
        <w:jc w:val="both"/>
        <w:rPr>
          <w:rFonts w:ascii="Century" w:hAnsi="Century" w:cs="ACaslonPro-Regular"/>
          <w:color w:val="231F20"/>
        </w:rPr>
      </w:pPr>
      <w:r>
        <w:rPr>
          <w:rFonts w:ascii="Century" w:hAnsi="Century" w:cs="ACaslonPro-Regular"/>
          <w:color w:val="231F20"/>
        </w:rPr>
        <w:t xml:space="preserve">Tiene el propósito de </w:t>
      </w:r>
      <w:r w:rsidRPr="007E1476">
        <w:rPr>
          <w:rFonts w:ascii="Century" w:hAnsi="Century" w:cs="ACaslonPro-Regular"/>
          <w:color w:val="231F20"/>
        </w:rPr>
        <w:t>inspira</w:t>
      </w:r>
      <w:r>
        <w:rPr>
          <w:rFonts w:ascii="Century" w:hAnsi="Century" w:cs="ACaslonPro-Regular"/>
          <w:color w:val="231F20"/>
        </w:rPr>
        <w:t>r</w:t>
      </w:r>
      <w:r w:rsidRPr="007E1476">
        <w:rPr>
          <w:rFonts w:ascii="Century" w:hAnsi="Century" w:cs="ACaslonPro-Regular"/>
          <w:color w:val="231F20"/>
        </w:rPr>
        <w:t xml:space="preserve"> a l</w:t>
      </w:r>
      <w:r>
        <w:rPr>
          <w:rFonts w:ascii="Century" w:hAnsi="Century" w:cs="ACaslonPro-Regular"/>
          <w:color w:val="231F20"/>
        </w:rPr>
        <w:t>o</w:t>
      </w:r>
      <w:r w:rsidRPr="007E1476">
        <w:rPr>
          <w:rFonts w:ascii="Century" w:hAnsi="Century" w:cs="ACaslonPro-Regular"/>
          <w:color w:val="231F20"/>
        </w:rPr>
        <w:t xml:space="preserve">s </w:t>
      </w:r>
      <w:r>
        <w:rPr>
          <w:rFonts w:ascii="Century" w:hAnsi="Century" w:cs="ACaslonPro-Regular"/>
          <w:color w:val="231F20"/>
        </w:rPr>
        <w:t>gobiernos de las ciudades y a sus ciudadanos</w:t>
      </w:r>
      <w:r w:rsidRPr="007E1476">
        <w:rPr>
          <w:rFonts w:ascii="Century" w:hAnsi="Century" w:cs="ACaslonPro-Regular"/>
          <w:color w:val="231F20"/>
        </w:rPr>
        <w:t xml:space="preserve"> a plantar, cuidar y celebrar los árboles y así resolver algunos de los mayores desafíos del mundo: pobreza, hambre, agua</w:t>
      </w:r>
      <w:r>
        <w:rPr>
          <w:rFonts w:ascii="Century" w:hAnsi="Century" w:cs="ACaslonPro-Regular"/>
          <w:color w:val="231F20"/>
        </w:rPr>
        <w:t xml:space="preserve"> </w:t>
      </w:r>
      <w:r w:rsidRPr="007E1476">
        <w:rPr>
          <w:rFonts w:ascii="Century" w:hAnsi="Century" w:cs="ACaslonPro-Regular"/>
          <w:color w:val="231F20"/>
        </w:rPr>
        <w:t>y aire limpio, cambio climático, y pérdida de especies.</w:t>
      </w:r>
    </w:p>
    <w:p w14:paraId="25288192" w14:textId="77777777" w:rsidR="004F70E3" w:rsidRPr="007E1476" w:rsidRDefault="004F70E3" w:rsidP="004F70E3">
      <w:pPr>
        <w:autoSpaceDE w:val="0"/>
        <w:autoSpaceDN w:val="0"/>
        <w:adjustRightInd w:val="0"/>
        <w:spacing w:before="120" w:after="120" w:line="252" w:lineRule="auto"/>
        <w:ind w:firstLine="709"/>
        <w:jc w:val="both"/>
        <w:rPr>
          <w:rFonts w:ascii="Century" w:hAnsi="Century" w:cs="ACaslonPro-Regular"/>
          <w:color w:val="231F20"/>
        </w:rPr>
      </w:pPr>
      <w:r>
        <w:rPr>
          <w:rFonts w:ascii="Century" w:hAnsi="Century" w:cs="ACaslonPro-Regular"/>
          <w:color w:val="231F20"/>
        </w:rPr>
        <w:t>Por su parte, l</w:t>
      </w:r>
      <w:r w:rsidRPr="007E1476">
        <w:rPr>
          <w:rFonts w:ascii="Century" w:hAnsi="Century" w:cs="ACaslonPro-Regular"/>
          <w:color w:val="231F20"/>
        </w:rPr>
        <w:t xml:space="preserve">a FAO apoya el desarrollo de acciones forestales urbanas </w:t>
      </w:r>
      <w:r>
        <w:rPr>
          <w:rFonts w:ascii="Century" w:hAnsi="Century" w:cs="ACaslonPro-Regular"/>
          <w:color w:val="231F20"/>
        </w:rPr>
        <w:t xml:space="preserve">y periurbanas, </w:t>
      </w:r>
      <w:r w:rsidRPr="007E1476">
        <w:rPr>
          <w:rFonts w:ascii="Century" w:hAnsi="Century" w:cs="ACaslonPro-Regular"/>
          <w:color w:val="231F20"/>
        </w:rPr>
        <w:t>proyectos y</w:t>
      </w:r>
      <w:r>
        <w:rPr>
          <w:rFonts w:ascii="Century" w:hAnsi="Century" w:cs="ACaslonPro-Regular"/>
          <w:color w:val="231F20"/>
        </w:rPr>
        <w:t xml:space="preserve"> </w:t>
      </w:r>
      <w:r w:rsidRPr="007E1476">
        <w:rPr>
          <w:rFonts w:ascii="Century" w:hAnsi="Century" w:cs="ACaslonPro-Regular"/>
          <w:color w:val="231F20"/>
        </w:rPr>
        <w:t>herramientas de planificación estratégica que promueven un modelo sostenible y resiliente para</w:t>
      </w:r>
      <w:r>
        <w:rPr>
          <w:rFonts w:ascii="Century" w:hAnsi="Century" w:cs="ACaslonPro-Regular"/>
          <w:color w:val="231F20"/>
        </w:rPr>
        <w:t xml:space="preserve"> </w:t>
      </w:r>
      <w:r w:rsidRPr="007E1476">
        <w:rPr>
          <w:rFonts w:ascii="Century" w:hAnsi="Century" w:cs="ACaslonPro-Regular"/>
          <w:color w:val="231F20"/>
        </w:rPr>
        <w:t>el desarrollo de la ciudad en todo</w:t>
      </w:r>
      <w:r>
        <w:rPr>
          <w:rFonts w:ascii="Century" w:hAnsi="Century" w:cs="ACaslonPro-Regular"/>
          <w:color w:val="231F20"/>
        </w:rPr>
        <w:t xml:space="preserve"> </w:t>
      </w:r>
      <w:r w:rsidRPr="007E1476">
        <w:rPr>
          <w:rFonts w:ascii="Century" w:hAnsi="Century" w:cs="ACaslonPro-Regular"/>
          <w:color w:val="231F20"/>
        </w:rPr>
        <w:t>el mundo.</w:t>
      </w:r>
    </w:p>
    <w:p w14:paraId="1DFF74BD" w14:textId="77777777" w:rsidR="004F70E3" w:rsidRPr="007E1476" w:rsidRDefault="004F70E3" w:rsidP="004F70E3">
      <w:pPr>
        <w:autoSpaceDE w:val="0"/>
        <w:autoSpaceDN w:val="0"/>
        <w:adjustRightInd w:val="0"/>
        <w:jc w:val="both"/>
        <w:rPr>
          <w:rFonts w:ascii="Century" w:hAnsi="Century" w:cs="ACaslonPro-Regular"/>
          <w:color w:val="231F20"/>
        </w:rPr>
      </w:pPr>
    </w:p>
    <w:p w14:paraId="6C2E4110" w14:textId="77777777" w:rsidR="004F70E3" w:rsidRPr="000043F4" w:rsidRDefault="004F70E3" w:rsidP="004F70E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043F4">
        <w:rPr>
          <w:rFonts w:ascii="Arial" w:hAnsi="Arial" w:cs="Arial"/>
          <w:b/>
          <w:bCs/>
        </w:rPr>
        <w:t>EL RECONOCIMIENTO</w:t>
      </w:r>
    </w:p>
    <w:p w14:paraId="4582EAD0" w14:textId="77777777" w:rsidR="004F70E3" w:rsidRDefault="004F70E3" w:rsidP="004F70E3">
      <w:pPr>
        <w:autoSpaceDE w:val="0"/>
        <w:autoSpaceDN w:val="0"/>
        <w:adjustRightInd w:val="0"/>
        <w:spacing w:before="120" w:after="120" w:line="252" w:lineRule="auto"/>
        <w:rPr>
          <w:rFonts w:ascii="Century" w:hAnsi="Century" w:cs="ACaslonPro-Regular"/>
          <w:color w:val="231F20"/>
        </w:rPr>
      </w:pPr>
      <w:r w:rsidRPr="007E1476">
        <w:rPr>
          <w:rFonts w:ascii="Century" w:hAnsi="Century" w:cs="ACaslonPro-Regular"/>
          <w:color w:val="231F20"/>
        </w:rPr>
        <w:t xml:space="preserve">El reconocimiento a través del programa Ciudades Árbol del Mundo representa </w:t>
      </w:r>
      <w:proofErr w:type="gramStart"/>
      <w:r w:rsidRPr="007E1476">
        <w:rPr>
          <w:rFonts w:ascii="Century" w:hAnsi="Century" w:cs="ACaslonPro-Regular"/>
          <w:color w:val="231F20"/>
        </w:rPr>
        <w:t>el</w:t>
      </w:r>
      <w:r>
        <w:rPr>
          <w:rFonts w:ascii="Century" w:hAnsi="Century" w:cs="ACaslonPro-Regular"/>
          <w:color w:val="231F20"/>
        </w:rPr>
        <w:t xml:space="preserve">  </w:t>
      </w:r>
      <w:r w:rsidRPr="007E1476">
        <w:rPr>
          <w:rFonts w:ascii="Century" w:hAnsi="Century" w:cs="ACaslonPro-Regular"/>
          <w:color w:val="231F20"/>
        </w:rPr>
        <w:t>primer</w:t>
      </w:r>
      <w:proofErr w:type="gramEnd"/>
      <w:r w:rsidRPr="007E1476">
        <w:rPr>
          <w:rFonts w:ascii="Century" w:hAnsi="Century" w:cs="ACaslonPro-Regular"/>
          <w:color w:val="231F20"/>
        </w:rPr>
        <w:t xml:space="preserve"> paso hacia el logro de una perspectiva sustentable para la comunidad. Para ser</w:t>
      </w:r>
      <w:r>
        <w:rPr>
          <w:rFonts w:ascii="Century" w:hAnsi="Century" w:cs="ACaslonPro-Regular"/>
          <w:color w:val="231F20"/>
        </w:rPr>
        <w:t xml:space="preserve"> reconocidos, l</w:t>
      </w:r>
      <w:r w:rsidRPr="007E1476">
        <w:rPr>
          <w:rFonts w:ascii="Century" w:hAnsi="Century" w:cs="ACaslonPro-Regular"/>
          <w:color w:val="231F20"/>
        </w:rPr>
        <w:t>a ciudad, debe cumplir con cinco estándares básicos:</w:t>
      </w:r>
    </w:p>
    <w:p w14:paraId="4A770BE6" w14:textId="77777777" w:rsidR="004F70E3" w:rsidRDefault="004F70E3" w:rsidP="004F70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Century" w:hAnsi="Century" w:cs="ACaslonPro-Regular"/>
          <w:color w:val="231F20"/>
        </w:rPr>
      </w:pPr>
      <w:r w:rsidRPr="00806EDB">
        <w:rPr>
          <w:rFonts w:ascii="Century" w:hAnsi="Century" w:cs="ACaslonPro-Regular"/>
          <w:color w:val="231F20"/>
        </w:rPr>
        <w:t>Contar con una autoridad responsable,</w:t>
      </w:r>
    </w:p>
    <w:p w14:paraId="54104454" w14:textId="77777777" w:rsidR="004F70E3" w:rsidRDefault="004F70E3" w:rsidP="004F70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Century" w:hAnsi="Century" w:cs="ACaslonPro-Regular"/>
          <w:color w:val="231F20"/>
        </w:rPr>
      </w:pPr>
      <w:r w:rsidRPr="00806EDB">
        <w:rPr>
          <w:rFonts w:ascii="Century" w:hAnsi="Century" w:cs="ACaslonPro-Regular"/>
          <w:color w:val="231F20"/>
        </w:rPr>
        <w:t>Contar con un compromiso por escrito de los administradores de la ciudad, donde se delega la responsabilidad del cuidado de los árboles a un miembro especialista, una dirección de arbolado llamado Consejo para los Árboles.</w:t>
      </w:r>
    </w:p>
    <w:p w14:paraId="0F1A3930" w14:textId="77777777" w:rsidR="004F70E3" w:rsidRDefault="004F70E3" w:rsidP="004F70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Century" w:hAnsi="Century" w:cs="ACaslonPro-Regular"/>
          <w:color w:val="231F20"/>
        </w:rPr>
      </w:pPr>
      <w:r w:rsidRPr="00806EDB">
        <w:rPr>
          <w:rFonts w:ascii="Century" w:hAnsi="Century" w:cs="ACaslonPro-Regular"/>
          <w:color w:val="231F20"/>
        </w:rPr>
        <w:t>Establec</w:t>
      </w:r>
      <w:r>
        <w:rPr>
          <w:rFonts w:ascii="Century" w:hAnsi="Century" w:cs="ACaslonPro-Regular"/>
          <w:color w:val="231F20"/>
        </w:rPr>
        <w:t>er reglas claras. A</w:t>
      </w:r>
      <w:r w:rsidRPr="00806EDB">
        <w:rPr>
          <w:rFonts w:ascii="Century" w:hAnsi="Century" w:cs="ACaslonPro-Regular"/>
          <w:color w:val="231F20"/>
        </w:rPr>
        <w:t>dopta</w:t>
      </w:r>
      <w:r>
        <w:rPr>
          <w:rFonts w:ascii="Century" w:hAnsi="Century" w:cs="ACaslonPro-Regular"/>
          <w:color w:val="231F20"/>
        </w:rPr>
        <w:t>r</w:t>
      </w:r>
      <w:r w:rsidRPr="00806EDB">
        <w:rPr>
          <w:rFonts w:ascii="Century" w:hAnsi="Century" w:cs="ACaslonPro-Regular"/>
          <w:color w:val="231F20"/>
        </w:rPr>
        <w:t xml:space="preserve"> políticas, mejores prácticas o</w:t>
      </w:r>
      <w:r>
        <w:rPr>
          <w:rFonts w:ascii="Century" w:hAnsi="Century" w:cs="ACaslonPro-Regular"/>
          <w:color w:val="231F20"/>
        </w:rPr>
        <w:t xml:space="preserve"> </w:t>
      </w:r>
      <w:r w:rsidRPr="00806EDB">
        <w:rPr>
          <w:rFonts w:ascii="Century" w:hAnsi="Century" w:cs="ACaslonPro-Regular"/>
          <w:color w:val="231F20"/>
        </w:rPr>
        <w:t>estándares técnicos para el manejo de árboles y bosques urbanos.</w:t>
      </w:r>
    </w:p>
    <w:p w14:paraId="7C10A4C6" w14:textId="77777777" w:rsidR="004F70E3" w:rsidRDefault="004F70E3" w:rsidP="004F70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Century" w:hAnsi="Century" w:cs="ACaslonPro-Regular"/>
          <w:color w:val="231F20"/>
        </w:rPr>
      </w:pPr>
      <w:r w:rsidRPr="00806EDB">
        <w:rPr>
          <w:rFonts w:ascii="Century" w:hAnsi="Century" w:cs="ACaslonPro-Regular"/>
          <w:color w:val="231F20"/>
        </w:rPr>
        <w:t>Conoce</w:t>
      </w:r>
      <w:r>
        <w:rPr>
          <w:rFonts w:ascii="Century" w:hAnsi="Century" w:cs="ACaslonPro-Regular"/>
          <w:color w:val="231F20"/>
        </w:rPr>
        <w:t>r lo que se tiene. Co</w:t>
      </w:r>
      <w:r w:rsidRPr="00806EDB">
        <w:rPr>
          <w:rFonts w:ascii="Century" w:hAnsi="Century" w:cs="ACaslonPro-Regular"/>
          <w:color w:val="231F20"/>
        </w:rPr>
        <w:t>nta con un inventario actualizado o una</w:t>
      </w:r>
      <w:r>
        <w:rPr>
          <w:rFonts w:ascii="Century" w:hAnsi="Century" w:cs="ACaslonPro-Regular"/>
          <w:color w:val="231F20"/>
        </w:rPr>
        <w:t xml:space="preserve"> </w:t>
      </w:r>
      <w:r w:rsidRPr="00806EDB">
        <w:rPr>
          <w:rFonts w:ascii="Century" w:hAnsi="Century" w:cs="ACaslonPro-Regular"/>
          <w:color w:val="231F20"/>
        </w:rPr>
        <w:t>evaluación de los recursos arbóreos locales para que se p</w:t>
      </w:r>
      <w:r>
        <w:rPr>
          <w:rFonts w:ascii="Century" w:hAnsi="Century" w:cs="ACaslonPro-Regular"/>
          <w:color w:val="231F20"/>
        </w:rPr>
        <w:t xml:space="preserve">ueda establecer un plan </w:t>
      </w:r>
      <w:r w:rsidRPr="00806EDB">
        <w:rPr>
          <w:rFonts w:ascii="Century" w:hAnsi="Century" w:cs="ACaslonPro-Regular"/>
          <w:color w:val="231F20"/>
        </w:rPr>
        <w:t>a largo plazo para la plantación, el cuidado y la remoción de árboles de la ciudad.</w:t>
      </w:r>
    </w:p>
    <w:p w14:paraId="258E44EE" w14:textId="77777777" w:rsidR="004F70E3" w:rsidRDefault="004F70E3" w:rsidP="004F70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Century" w:hAnsi="Century" w:cs="ACaslonPro-Regular"/>
          <w:color w:val="231F20"/>
        </w:rPr>
      </w:pPr>
      <w:r>
        <w:rPr>
          <w:rFonts w:ascii="Century" w:hAnsi="Century" w:cs="ACaslonPro-Regular"/>
          <w:color w:val="231F20"/>
        </w:rPr>
        <w:t>Asignar recursos adecuados. A</w:t>
      </w:r>
      <w:r w:rsidRPr="00806EDB">
        <w:rPr>
          <w:rFonts w:ascii="Century" w:hAnsi="Century" w:cs="ACaslonPro-Regular"/>
          <w:color w:val="231F20"/>
        </w:rPr>
        <w:t>signar un presupuesto</w:t>
      </w:r>
      <w:r>
        <w:rPr>
          <w:rFonts w:ascii="Century" w:hAnsi="Century" w:cs="ACaslonPro-Regular"/>
          <w:color w:val="231F20"/>
        </w:rPr>
        <w:t xml:space="preserve"> </w:t>
      </w:r>
      <w:r w:rsidRPr="00CE3B73">
        <w:rPr>
          <w:rFonts w:ascii="Century" w:hAnsi="Century" w:cs="ACaslonPro-Regular"/>
          <w:color w:val="231F20"/>
        </w:rPr>
        <w:t>anual dedicado a la implementación rutinaria del plan de manejo de árboles.</w:t>
      </w:r>
    </w:p>
    <w:p w14:paraId="5DF721D2" w14:textId="77777777" w:rsidR="004F70E3" w:rsidRPr="007F15D9" w:rsidRDefault="004F70E3" w:rsidP="004F70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Century" w:hAnsi="Century" w:cs="ACaslonPro-Regular"/>
          <w:color w:val="231F20"/>
        </w:rPr>
      </w:pPr>
      <w:r w:rsidRPr="00CE3B73">
        <w:rPr>
          <w:rFonts w:ascii="Century" w:hAnsi="Century" w:cs="ACaslonPro-Regular"/>
          <w:color w:val="231F20"/>
        </w:rPr>
        <w:lastRenderedPageBreak/>
        <w:t>Recon</w:t>
      </w:r>
      <w:r>
        <w:rPr>
          <w:rFonts w:ascii="Century" w:hAnsi="Century" w:cs="ACaslonPro-Regular"/>
          <w:color w:val="231F20"/>
        </w:rPr>
        <w:t>ocer los logros. R</w:t>
      </w:r>
      <w:r w:rsidRPr="00CE3B73">
        <w:rPr>
          <w:rFonts w:ascii="Century" w:hAnsi="Century" w:cs="ACaslonPro-Regular"/>
          <w:color w:val="231F20"/>
        </w:rPr>
        <w:t>ealiza una celebración anual de los árboles</w:t>
      </w:r>
      <w:r>
        <w:rPr>
          <w:rFonts w:ascii="Century" w:hAnsi="Century" w:cs="ACaslonPro-Regular"/>
          <w:color w:val="231F20"/>
        </w:rPr>
        <w:t xml:space="preserve"> </w:t>
      </w:r>
      <w:r w:rsidRPr="005F42B9">
        <w:rPr>
          <w:rFonts w:ascii="Century" w:hAnsi="Century" w:cs="ACaslonPro-Regular"/>
          <w:color w:val="231F20"/>
        </w:rPr>
        <w:t>para crea</w:t>
      </w:r>
      <w:r>
        <w:rPr>
          <w:rFonts w:ascii="Century" w:hAnsi="Century" w:cs="ACaslonPro-Regular"/>
          <w:color w:val="231F20"/>
        </w:rPr>
        <w:t>r conciencia entre los ciudadanos y para reconocerles a ellos</w:t>
      </w:r>
      <w:r w:rsidRPr="005F42B9">
        <w:rPr>
          <w:rFonts w:ascii="Century" w:hAnsi="Century" w:cs="ACaslonPro-Regular"/>
          <w:color w:val="231F20"/>
        </w:rPr>
        <w:t xml:space="preserve"> y </w:t>
      </w:r>
      <w:r>
        <w:rPr>
          <w:rFonts w:ascii="Century" w:hAnsi="Century" w:cs="ACaslonPro-Regular"/>
          <w:color w:val="231F20"/>
        </w:rPr>
        <w:t xml:space="preserve">a los </w:t>
      </w:r>
      <w:r w:rsidRPr="005F42B9">
        <w:rPr>
          <w:rFonts w:ascii="Century" w:hAnsi="Century" w:cs="ACaslonPro-Regular"/>
          <w:color w:val="231F20"/>
        </w:rPr>
        <w:t>miembros</w:t>
      </w:r>
      <w:r>
        <w:rPr>
          <w:rFonts w:ascii="Century" w:hAnsi="Century" w:cs="ACaslonPro-Regular"/>
          <w:color w:val="231F20"/>
        </w:rPr>
        <w:t xml:space="preserve"> </w:t>
      </w:r>
      <w:r w:rsidRPr="007F15D9">
        <w:rPr>
          <w:rFonts w:ascii="Century" w:hAnsi="Century" w:cs="ACaslonPro-Regular"/>
          <w:color w:val="231F20"/>
        </w:rPr>
        <w:t>de</w:t>
      </w:r>
      <w:r>
        <w:rPr>
          <w:rFonts w:ascii="Century" w:hAnsi="Century" w:cs="ACaslonPro-Regular"/>
          <w:color w:val="231F20"/>
        </w:rPr>
        <w:t xml:space="preserve"> </w:t>
      </w:r>
      <w:r w:rsidRPr="007F15D9">
        <w:rPr>
          <w:rFonts w:ascii="Century" w:hAnsi="Century" w:cs="ACaslonPro-Regular"/>
          <w:color w:val="231F20"/>
        </w:rPr>
        <w:t>l</w:t>
      </w:r>
      <w:r>
        <w:rPr>
          <w:rFonts w:ascii="Century" w:hAnsi="Century" w:cs="ACaslonPro-Regular"/>
          <w:color w:val="231F20"/>
        </w:rPr>
        <w:t>a</w:t>
      </w:r>
      <w:r w:rsidRPr="007F15D9">
        <w:rPr>
          <w:rFonts w:ascii="Century" w:hAnsi="Century" w:cs="ACaslonPro-Regular"/>
          <w:color w:val="231F20"/>
        </w:rPr>
        <w:t xml:space="preserve"> </w:t>
      </w:r>
      <w:r>
        <w:rPr>
          <w:rFonts w:ascii="Century" w:hAnsi="Century" w:cs="ACaslonPro-Regular"/>
          <w:color w:val="231F20"/>
        </w:rPr>
        <w:t xml:space="preserve">Alcaldía </w:t>
      </w:r>
      <w:r w:rsidRPr="007F15D9">
        <w:rPr>
          <w:rFonts w:ascii="Century" w:hAnsi="Century" w:cs="ACaslonPro-Regular"/>
          <w:color w:val="231F20"/>
        </w:rPr>
        <w:t>que llevan a cabo el buen manejo de árboles de la ciudad.</w:t>
      </w:r>
    </w:p>
    <w:p w14:paraId="6CD95A71" w14:textId="77777777" w:rsidR="004F70E3" w:rsidRDefault="004F70E3" w:rsidP="004F70E3">
      <w:pPr>
        <w:autoSpaceDE w:val="0"/>
        <w:autoSpaceDN w:val="0"/>
        <w:adjustRightInd w:val="0"/>
        <w:rPr>
          <w:rFonts w:ascii="Century" w:hAnsi="Century" w:cs="ACaslonPro-Regular"/>
          <w:color w:val="231F20"/>
        </w:rPr>
      </w:pPr>
    </w:p>
    <w:p w14:paraId="696F8321" w14:textId="77777777" w:rsidR="004F70E3" w:rsidRPr="004C09E0" w:rsidRDefault="004F70E3" w:rsidP="004F70E3">
      <w:pPr>
        <w:autoSpaceDE w:val="0"/>
        <w:autoSpaceDN w:val="0"/>
        <w:adjustRightInd w:val="0"/>
        <w:spacing w:before="120" w:after="120" w:line="252" w:lineRule="auto"/>
        <w:rPr>
          <w:rFonts w:ascii="Arial" w:hAnsi="Arial" w:cs="Arial"/>
          <w:b/>
          <w:bCs/>
        </w:rPr>
      </w:pPr>
      <w:r w:rsidRPr="004C09E0">
        <w:rPr>
          <w:rFonts w:ascii="Arial" w:hAnsi="Arial" w:cs="Arial"/>
          <w:b/>
          <w:bCs/>
        </w:rPr>
        <w:t>BENEFICIOS DEL RECONOCIMIENTO</w:t>
      </w:r>
    </w:p>
    <w:p w14:paraId="76068059" w14:textId="77777777" w:rsidR="004F70E3" w:rsidRPr="007E1476" w:rsidRDefault="004F70E3" w:rsidP="004F70E3">
      <w:pPr>
        <w:autoSpaceDE w:val="0"/>
        <w:autoSpaceDN w:val="0"/>
        <w:adjustRightInd w:val="0"/>
        <w:spacing w:before="120" w:after="120" w:line="252" w:lineRule="auto"/>
        <w:rPr>
          <w:rFonts w:ascii="Century" w:hAnsi="Century" w:cs="ACaslonPro-Regular"/>
          <w:color w:val="231F20"/>
        </w:rPr>
      </w:pPr>
      <w:r>
        <w:rPr>
          <w:rFonts w:ascii="Century" w:hAnsi="Century" w:cs="ACaslonPro-Regular"/>
          <w:color w:val="231F20"/>
        </w:rPr>
        <w:t>Tlalpan a</w:t>
      </w:r>
      <w:r w:rsidRPr="007E1476">
        <w:rPr>
          <w:rFonts w:ascii="Century" w:hAnsi="Century" w:cs="ACaslonPro-Regular"/>
          <w:color w:val="231F20"/>
        </w:rPr>
        <w:t>l convertirse en una Ciudad Árbol se tendrá:</w:t>
      </w:r>
    </w:p>
    <w:p w14:paraId="7276BDBB" w14:textId="77777777" w:rsidR="004F70E3" w:rsidRDefault="004F70E3" w:rsidP="004F70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Century" w:hAnsi="Century" w:cs="ACaslonPro-Regular"/>
          <w:color w:val="231F20"/>
        </w:rPr>
      </w:pPr>
      <w:r w:rsidRPr="007F15D9">
        <w:rPr>
          <w:rFonts w:ascii="Century" w:hAnsi="Century" w:cs="ACaslonPro-Regular"/>
          <w:color w:val="231F20"/>
        </w:rPr>
        <w:t>Un programa para el cuidado de los árboles de la ciudad elaborado con los cinco</w:t>
      </w:r>
      <w:r>
        <w:rPr>
          <w:rFonts w:ascii="Century" w:hAnsi="Century" w:cs="ACaslonPro-Regular"/>
          <w:color w:val="231F20"/>
        </w:rPr>
        <w:t xml:space="preserve"> </w:t>
      </w:r>
      <w:r w:rsidRPr="007F15D9">
        <w:rPr>
          <w:rFonts w:ascii="Century" w:hAnsi="Century" w:cs="ACaslonPro-Regular"/>
          <w:color w:val="231F20"/>
        </w:rPr>
        <w:t>criterios básicos.</w:t>
      </w:r>
    </w:p>
    <w:p w14:paraId="5059A23F" w14:textId="77777777" w:rsidR="004F70E3" w:rsidRDefault="004F70E3" w:rsidP="004F70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Century" w:hAnsi="Century" w:cs="ACaslonPro-Regular"/>
          <w:color w:val="231F20"/>
        </w:rPr>
      </w:pPr>
      <w:r w:rsidRPr="004A3290">
        <w:rPr>
          <w:rFonts w:ascii="Century" w:hAnsi="Century" w:cs="ACaslonPro-Regular"/>
          <w:color w:val="231F20"/>
        </w:rPr>
        <w:t>Información y contenido para sensibilizar a las personas que viven en la ciudad</w:t>
      </w:r>
      <w:r>
        <w:rPr>
          <w:rFonts w:ascii="Century" w:hAnsi="Century" w:cs="ACaslonPro-Regular"/>
          <w:color w:val="231F20"/>
        </w:rPr>
        <w:t xml:space="preserve"> </w:t>
      </w:r>
      <w:r w:rsidRPr="007909B4">
        <w:rPr>
          <w:rFonts w:ascii="Century" w:hAnsi="Century" w:cs="ACaslonPro-Regular"/>
          <w:color w:val="231F20"/>
        </w:rPr>
        <w:t>sobre el valor de los árboles y la importancia del manejo sostenible de los mismos.</w:t>
      </w:r>
    </w:p>
    <w:p w14:paraId="19B239B5" w14:textId="77777777" w:rsidR="004F70E3" w:rsidRPr="007909B4" w:rsidRDefault="004F70E3" w:rsidP="004F70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Century" w:hAnsi="Century" w:cs="ACaslonPro-Regular"/>
          <w:color w:val="231F20"/>
        </w:rPr>
      </w:pPr>
      <w:r w:rsidRPr="007909B4">
        <w:rPr>
          <w:rFonts w:ascii="Century" w:hAnsi="Century" w:cs="ACaslonPro-Regular"/>
          <w:color w:val="231F20"/>
        </w:rPr>
        <w:t>Herramientas para fortalecer el orgullo comunitario al usar el reconocimiento para</w:t>
      </w:r>
      <w:r>
        <w:rPr>
          <w:rFonts w:ascii="Century" w:hAnsi="Century" w:cs="ACaslonPro-Regular"/>
          <w:color w:val="231F20"/>
        </w:rPr>
        <w:t xml:space="preserve"> </w:t>
      </w:r>
      <w:r w:rsidRPr="007909B4">
        <w:rPr>
          <w:rFonts w:ascii="Century" w:hAnsi="Century" w:cs="ACaslonPro-Regular"/>
          <w:color w:val="231F20"/>
        </w:rPr>
        <w:t>mostrar que los árboles, la conservación y el medio ambiente son importantes para la Alcaldía.</w:t>
      </w:r>
    </w:p>
    <w:p w14:paraId="655CA107" w14:textId="77777777" w:rsidR="004F70E3" w:rsidRDefault="004F70E3" w:rsidP="004F70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252" w:lineRule="auto"/>
        <w:contextualSpacing w:val="0"/>
        <w:rPr>
          <w:rFonts w:ascii="Arial" w:hAnsi="Arial" w:cs="Arial"/>
        </w:rPr>
      </w:pPr>
      <w:r w:rsidRPr="007909B4">
        <w:rPr>
          <w:rFonts w:ascii="Century" w:hAnsi="Century" w:cs="ACaslonPro-Regular"/>
          <w:color w:val="231F20"/>
        </w:rPr>
        <w:t xml:space="preserve">Visibilidad del compromiso comunitario por un entorno más </w:t>
      </w:r>
      <w:proofErr w:type="gramStart"/>
      <w:r w:rsidRPr="007909B4">
        <w:rPr>
          <w:rFonts w:ascii="Century" w:hAnsi="Century" w:cs="ACaslonPro-Regular"/>
          <w:color w:val="231F20"/>
        </w:rPr>
        <w:t>saludable..</w:t>
      </w:r>
      <w:proofErr w:type="gramEnd"/>
      <w:r>
        <w:rPr>
          <w:rFonts w:ascii="Arial" w:hAnsi="Arial" w:cs="Arial"/>
        </w:rPr>
        <w:t xml:space="preserve"> </w:t>
      </w:r>
    </w:p>
    <w:p w14:paraId="2D9A864D" w14:textId="77777777" w:rsidR="004F70E3" w:rsidRDefault="004F70E3" w:rsidP="004F70E3">
      <w:pPr>
        <w:tabs>
          <w:tab w:val="left" w:pos="3731"/>
          <w:tab w:val="center" w:pos="4853"/>
        </w:tabs>
        <w:rPr>
          <w:rFonts w:ascii="Arial" w:hAnsi="Arial" w:cs="Arial"/>
          <w:b/>
          <w:bCs/>
          <w:color w:val="FFFFFF" w:themeColor="background1"/>
        </w:rPr>
      </w:pPr>
    </w:p>
    <w:p w14:paraId="1C1EFC03" w14:textId="77777777" w:rsidR="004F70E3" w:rsidRPr="00491DE7" w:rsidRDefault="004F70E3" w:rsidP="004F70E3">
      <w:pPr>
        <w:tabs>
          <w:tab w:val="left" w:pos="3731"/>
          <w:tab w:val="center" w:pos="4853"/>
        </w:tabs>
        <w:rPr>
          <w:rFonts w:ascii="Arial" w:hAnsi="Arial" w:cs="Arial"/>
          <w:color w:val="FFFFFF" w:themeColor="background1"/>
        </w:rPr>
      </w:pPr>
      <w:r w:rsidRPr="00491DE7">
        <w:rPr>
          <w:rFonts w:ascii="Arial" w:hAnsi="Arial" w:cs="Arial"/>
          <w:b/>
          <w:bCs/>
          <w:color w:val="FFFFFF" w:themeColor="background1"/>
        </w:rPr>
        <w:tab/>
      </w:r>
      <w:r w:rsidRPr="006254DB">
        <w:rPr>
          <w:rFonts w:ascii="Arial" w:hAnsi="Arial" w:cs="Arial"/>
          <w:b/>
          <w:bCs/>
        </w:rPr>
        <w:tab/>
      </w:r>
      <w:r w:rsidRPr="006254DB">
        <w:rPr>
          <w:rFonts w:ascii="Arial" w:hAnsi="Arial" w:cs="Arial"/>
          <w:b/>
          <w:bCs/>
          <w:highlight w:val="darkGray"/>
        </w:rPr>
        <w:t>DATOS DE TLALPAN</w:t>
      </w:r>
    </w:p>
    <w:p w14:paraId="6BB6AFDE" w14:textId="77777777" w:rsidR="004F70E3" w:rsidRPr="004C09E0" w:rsidRDefault="004F70E3" w:rsidP="004F70E3">
      <w:pPr>
        <w:rPr>
          <w:rFonts w:ascii="Century" w:hAnsi="Century" w:cs="ACaslonPro-Regular"/>
          <w:b/>
          <w:color w:val="231F20"/>
        </w:rPr>
      </w:pPr>
      <w:r w:rsidRPr="004C09E0">
        <w:rPr>
          <w:rFonts w:ascii="Century" w:hAnsi="Century" w:cs="ACaslonPro-Regular"/>
          <w:b/>
          <w:color w:val="231F20"/>
        </w:rPr>
        <w:t>Junta de Arbolado:</w:t>
      </w:r>
    </w:p>
    <w:p w14:paraId="5A85BB01" w14:textId="77777777" w:rsidR="004F70E3" w:rsidRPr="004C09E0" w:rsidRDefault="004F70E3" w:rsidP="004F70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Century" w:hAnsi="Century" w:cs="ACaslonPro-Regular"/>
          <w:color w:val="231F20"/>
        </w:rPr>
        <w:t xml:space="preserve">Mtra. </w:t>
      </w:r>
      <w:r w:rsidRPr="004C09E0">
        <w:rPr>
          <w:rFonts w:ascii="Century" w:hAnsi="Century" w:cs="ACaslonPro-Regular"/>
          <w:color w:val="231F20"/>
        </w:rPr>
        <w:t>A</w:t>
      </w:r>
      <w:r>
        <w:rPr>
          <w:rFonts w:ascii="Century" w:hAnsi="Century" w:cs="ACaslonPro-Regular"/>
          <w:color w:val="231F20"/>
        </w:rPr>
        <w:t xml:space="preserve">lfa Eliana González Magallanes, </w:t>
      </w:r>
      <w:proofErr w:type="gramStart"/>
      <w:r>
        <w:rPr>
          <w:rFonts w:ascii="Century" w:hAnsi="Century" w:cs="ACaslonPro-Regular"/>
          <w:color w:val="231F20"/>
        </w:rPr>
        <w:t>Alcaldesa</w:t>
      </w:r>
      <w:proofErr w:type="gramEnd"/>
    </w:p>
    <w:p w14:paraId="5763E9CE" w14:textId="77777777" w:rsidR="004F70E3" w:rsidRPr="004C09E0" w:rsidRDefault="004F70E3" w:rsidP="004F70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Century" w:hAnsi="Century" w:cs="ACaslonPro-Regular"/>
          <w:color w:val="231F20"/>
        </w:rPr>
        <w:t xml:space="preserve">C.P. Sergio Iván Galindo Hernández, </w:t>
      </w:r>
      <w:proofErr w:type="gramStart"/>
      <w:r>
        <w:rPr>
          <w:rFonts w:ascii="Century" w:hAnsi="Century" w:cs="ACaslonPro-Regular"/>
          <w:color w:val="231F20"/>
        </w:rPr>
        <w:t>Director General</w:t>
      </w:r>
      <w:proofErr w:type="gramEnd"/>
      <w:r>
        <w:rPr>
          <w:rFonts w:ascii="Century" w:hAnsi="Century" w:cs="ACaslonPro-Regular"/>
          <w:color w:val="231F20"/>
        </w:rPr>
        <w:t xml:space="preserve"> de Servicios Urbanos</w:t>
      </w:r>
    </w:p>
    <w:p w14:paraId="2F0D78E0" w14:textId="77777777" w:rsidR="004F70E3" w:rsidRPr="00E05A8E" w:rsidRDefault="004F70E3" w:rsidP="004F70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Century" w:hAnsi="Century" w:cs="ACaslonPro-Regular"/>
          <w:color w:val="231F20"/>
        </w:rPr>
        <w:t xml:space="preserve">Rosalba Hernández Martínez, </w:t>
      </w:r>
      <w:proofErr w:type="gramStart"/>
      <w:r>
        <w:rPr>
          <w:rFonts w:ascii="Century" w:hAnsi="Century" w:cs="ACaslonPro-Regular"/>
          <w:color w:val="231F20"/>
        </w:rPr>
        <w:t>Directora General</w:t>
      </w:r>
      <w:proofErr w:type="gramEnd"/>
      <w:r>
        <w:rPr>
          <w:rFonts w:ascii="Century" w:hAnsi="Century" w:cs="ACaslonPro-Regular"/>
          <w:color w:val="231F20"/>
        </w:rPr>
        <w:t xml:space="preserve"> de Medio Ambiente, Desarrollo Sustentable y Fomento Económico</w:t>
      </w:r>
    </w:p>
    <w:p w14:paraId="32E2F893" w14:textId="77777777" w:rsidR="004F70E3" w:rsidRPr="004C09E0" w:rsidRDefault="004F70E3" w:rsidP="004F70E3">
      <w:pPr>
        <w:pStyle w:val="Prrafodelista"/>
        <w:numPr>
          <w:ilvl w:val="0"/>
          <w:numId w:val="3"/>
        </w:numPr>
        <w:rPr>
          <w:rFonts w:ascii="Arial" w:hAnsi="Arial" w:cs="Arial"/>
        </w:rPr>
      </w:pPr>
    </w:p>
    <w:p w14:paraId="4866F904" w14:textId="77777777" w:rsidR="004F70E3" w:rsidRPr="00491DE7" w:rsidRDefault="004F70E3" w:rsidP="004F70E3">
      <w:pPr>
        <w:shd w:val="clear" w:color="auto" w:fill="FFFFFF"/>
        <w:jc w:val="both"/>
        <w:rPr>
          <w:rFonts w:cstheme="minorHAnsi"/>
          <w:color w:val="000000" w:themeColor="text1"/>
          <w:sz w:val="18"/>
          <w:szCs w:val="18"/>
        </w:rPr>
      </w:pPr>
      <w:r w:rsidRPr="004C09E0">
        <w:rPr>
          <w:rFonts w:ascii="Century" w:hAnsi="Century" w:cs="ACaslonPro-Regular"/>
          <w:color w:val="231F20"/>
        </w:rPr>
        <w:t>Oficina</w:t>
      </w:r>
      <w:r>
        <w:rPr>
          <w:rFonts w:ascii="Century" w:hAnsi="Century" w:cs="ACaslonPro-Regular"/>
          <w:color w:val="231F20"/>
        </w:rPr>
        <w:t xml:space="preserve"> Responsable</w:t>
      </w:r>
      <w:r w:rsidRPr="004C09E0">
        <w:rPr>
          <w:rFonts w:ascii="Century" w:hAnsi="Century" w:cs="ACaslonPro-Regular"/>
          <w:color w:val="231F20"/>
        </w:rPr>
        <w:t>: Dirección General de Servicios Urbanos</w:t>
      </w:r>
    </w:p>
    <w:p w14:paraId="316BF196" w14:textId="77777777" w:rsidR="004F70E3" w:rsidRDefault="004F70E3" w:rsidP="004F70E3">
      <w:pPr>
        <w:jc w:val="both"/>
        <w:rPr>
          <w:rFonts w:ascii="Century" w:hAnsi="Century" w:cs="ACaslonPro-Regular"/>
          <w:color w:val="231F20"/>
        </w:rPr>
      </w:pPr>
      <w:r>
        <w:rPr>
          <w:rFonts w:ascii="Century" w:hAnsi="Century" w:cs="ACaslonPro-Regular"/>
          <w:color w:val="231F20"/>
        </w:rPr>
        <w:t>Inventario:</w:t>
      </w:r>
    </w:p>
    <w:p w14:paraId="151FC6E2" w14:textId="77777777" w:rsidR="004F70E3" w:rsidRPr="004C09E0" w:rsidRDefault="004F70E3" w:rsidP="004F70E3">
      <w:pPr>
        <w:ind w:left="1169"/>
        <w:jc w:val="both"/>
        <w:rPr>
          <w:rFonts w:ascii="Century" w:hAnsi="Century" w:cs="ACaslonPro-Regular"/>
          <w:color w:val="231F20"/>
        </w:rPr>
      </w:pPr>
      <w:r>
        <w:rPr>
          <w:rFonts w:ascii="Century" w:hAnsi="Century" w:cs="ACaslonPro-Regular"/>
          <w:color w:val="231F20"/>
        </w:rPr>
        <w:t>Se realizó</w:t>
      </w:r>
      <w:r w:rsidRPr="004C09E0">
        <w:rPr>
          <w:rFonts w:ascii="Century" w:hAnsi="Century" w:cs="ACaslonPro-Regular"/>
          <w:color w:val="231F20"/>
        </w:rPr>
        <w:t xml:space="preserve"> una </w:t>
      </w:r>
      <w:proofErr w:type="spellStart"/>
      <w:r w:rsidRPr="004C09E0">
        <w:rPr>
          <w:rFonts w:ascii="Century" w:hAnsi="Century" w:cs="ACaslonPro-Regular"/>
          <w:color w:val="231F20"/>
        </w:rPr>
        <w:t>evaluación</w:t>
      </w:r>
      <w:proofErr w:type="spellEnd"/>
      <w:r w:rsidRPr="004C09E0">
        <w:rPr>
          <w:rFonts w:ascii="Century" w:hAnsi="Century" w:cs="ACaslonPro-Regular"/>
          <w:color w:val="231F20"/>
        </w:rPr>
        <w:t xml:space="preserve"> de </w:t>
      </w:r>
      <w:r>
        <w:rPr>
          <w:rFonts w:ascii="Century" w:hAnsi="Century" w:cs="ACaslonPro-Regular"/>
          <w:color w:val="231F20"/>
        </w:rPr>
        <w:t xml:space="preserve">la cobertura </w:t>
      </w:r>
      <w:proofErr w:type="spellStart"/>
      <w:r>
        <w:rPr>
          <w:rFonts w:ascii="Century" w:hAnsi="Century" w:cs="ACaslonPro-Regular"/>
          <w:color w:val="231F20"/>
        </w:rPr>
        <w:t>arbórea</w:t>
      </w:r>
      <w:proofErr w:type="spellEnd"/>
      <w:r>
        <w:rPr>
          <w:rFonts w:ascii="Century" w:hAnsi="Century" w:cs="ACaslonPro-Regular"/>
          <w:color w:val="231F20"/>
        </w:rPr>
        <w:t xml:space="preserve"> urbana de la </w:t>
      </w:r>
      <w:proofErr w:type="spellStart"/>
      <w:r>
        <w:rPr>
          <w:rFonts w:ascii="Century" w:hAnsi="Century" w:cs="ACaslonPro-Regular"/>
          <w:color w:val="231F20"/>
        </w:rPr>
        <w:t>alcaldía</w:t>
      </w:r>
      <w:proofErr w:type="spellEnd"/>
      <w:r>
        <w:rPr>
          <w:rFonts w:ascii="Century" w:hAnsi="Century" w:cs="ACaslonPro-Regular"/>
          <w:color w:val="231F20"/>
        </w:rPr>
        <w:t xml:space="preserve"> Tlalpan </w:t>
      </w:r>
      <w:r w:rsidRPr="004C09E0">
        <w:rPr>
          <w:rFonts w:ascii="Century" w:hAnsi="Century" w:cs="ACaslonPro-Regular"/>
          <w:color w:val="231F20"/>
        </w:rPr>
        <w:t>e</w:t>
      </w:r>
      <w:r>
        <w:rPr>
          <w:rFonts w:ascii="Century" w:hAnsi="Century" w:cs="ACaslonPro-Regular"/>
          <w:color w:val="231F20"/>
        </w:rPr>
        <w:t>n</w:t>
      </w:r>
      <w:r w:rsidRPr="004C09E0">
        <w:rPr>
          <w:rFonts w:ascii="Century" w:hAnsi="Century" w:cs="ACaslonPro-Regular"/>
          <w:color w:val="231F20"/>
        </w:rPr>
        <w:t xml:space="preserve"> 35 zonas como una muestra de estudio geográficamente.</w:t>
      </w:r>
    </w:p>
    <w:p w14:paraId="7F1D9933" w14:textId="77777777" w:rsidR="004F70E3" w:rsidRDefault="004F70E3" w:rsidP="004F70E3">
      <w:pPr>
        <w:jc w:val="both"/>
        <w:rPr>
          <w:rFonts w:ascii="Century" w:hAnsi="Century" w:cs="ACaslonPro-Regular"/>
          <w:color w:val="231F20"/>
        </w:rPr>
      </w:pPr>
    </w:p>
    <w:p w14:paraId="2D8B3636" w14:textId="77777777" w:rsidR="004F70E3" w:rsidRPr="004C09E0" w:rsidRDefault="004F70E3" w:rsidP="004F70E3">
      <w:pPr>
        <w:jc w:val="both"/>
        <w:rPr>
          <w:rFonts w:ascii="Century" w:hAnsi="Century" w:cs="ACaslonPro-Regular"/>
          <w:color w:val="231F20"/>
        </w:rPr>
      </w:pPr>
      <w:r>
        <w:rPr>
          <w:rFonts w:ascii="Century" w:hAnsi="Century" w:cs="ACaslonPro-Regular"/>
          <w:color w:val="231F20"/>
        </w:rPr>
        <w:t>Los datos obtenidos son:</w:t>
      </w:r>
    </w:p>
    <w:p w14:paraId="50AB72AF" w14:textId="77777777" w:rsidR="004F70E3" w:rsidRPr="004C09E0" w:rsidRDefault="004F70E3" w:rsidP="004F70E3">
      <w:pPr>
        <w:ind w:firstLine="1169"/>
        <w:jc w:val="both"/>
        <w:rPr>
          <w:rFonts w:ascii="Century" w:hAnsi="Century" w:cs="ACaslonPro-Regular"/>
          <w:color w:val="231F20"/>
        </w:rPr>
      </w:pPr>
      <w:r w:rsidRPr="004C09E0">
        <w:rPr>
          <w:rFonts w:ascii="Century" w:hAnsi="Century" w:cs="ACaslonPro-Regular"/>
          <w:color w:val="231F20"/>
        </w:rPr>
        <w:t xml:space="preserve">45.06% de cobertura </w:t>
      </w:r>
      <w:proofErr w:type="spellStart"/>
      <w:r w:rsidRPr="004C09E0">
        <w:rPr>
          <w:rFonts w:ascii="Century" w:hAnsi="Century" w:cs="ACaslonPro-Regular"/>
          <w:color w:val="231F20"/>
        </w:rPr>
        <w:t>arbórea</w:t>
      </w:r>
      <w:proofErr w:type="spellEnd"/>
      <w:r w:rsidRPr="004C09E0">
        <w:rPr>
          <w:rFonts w:ascii="Century" w:hAnsi="Century" w:cs="ACaslonPro-Regular"/>
          <w:color w:val="231F20"/>
        </w:rPr>
        <w:t xml:space="preserve">, correspondientes a 224,098.55 m2 </w:t>
      </w:r>
    </w:p>
    <w:p w14:paraId="5C5B7ED6" w14:textId="77777777" w:rsidR="004F70E3" w:rsidRDefault="004F70E3" w:rsidP="004F70E3">
      <w:pPr>
        <w:jc w:val="both"/>
      </w:pPr>
      <w:r w:rsidRPr="004C09E0">
        <w:rPr>
          <w:rFonts w:ascii="Century" w:hAnsi="Century" w:cs="ACaslonPro-Regular"/>
          <w:color w:val="231F20"/>
        </w:rPr>
        <w:t xml:space="preserve">54.94% de cobertura “Sin </w:t>
      </w:r>
      <w:proofErr w:type="spellStart"/>
      <w:r w:rsidRPr="004C09E0">
        <w:rPr>
          <w:rFonts w:ascii="Calibri" w:eastAsia="Calibri" w:hAnsi="Calibri" w:cs="Calibri"/>
          <w:color w:val="231F20"/>
        </w:rPr>
        <w:t>Á</w:t>
      </w:r>
      <w:r w:rsidRPr="004C09E0">
        <w:rPr>
          <w:rFonts w:ascii="Century" w:hAnsi="Century" w:cs="ACaslonPro-Regular"/>
          <w:color w:val="231F20"/>
        </w:rPr>
        <w:t>rboles</w:t>
      </w:r>
      <w:proofErr w:type="spellEnd"/>
      <w:r w:rsidRPr="004C09E0">
        <w:rPr>
          <w:rFonts w:ascii="Century" w:hAnsi="Century" w:cs="ACaslonPro-Regular"/>
          <w:color w:val="231F20"/>
        </w:rPr>
        <w:t>” correspondientes a 245,776.16 m2.</w:t>
      </w:r>
    </w:p>
    <w:sectPr w:rsidR="004F70E3" w:rsidSect="0091251D">
      <w:headerReference w:type="default" r:id="rId5"/>
      <w:footerReference w:type="default" r:id="rId6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A131" w14:textId="77777777" w:rsidR="00D11269" w:rsidRPr="00C4740A" w:rsidRDefault="004F70E3" w:rsidP="00D11269">
    <w:pPr>
      <w:pStyle w:val="Piedepgina"/>
      <w:pBdr>
        <w:bottom w:val="single" w:sz="12" w:space="1" w:color="auto"/>
      </w:pBdr>
      <w:tabs>
        <w:tab w:val="center" w:pos="5315"/>
        <w:tab w:val="right" w:pos="10631"/>
      </w:tabs>
      <w:rPr>
        <w:rFonts w:ascii="Arial" w:hAnsi="Arial" w:cs="Arial"/>
        <w:b/>
        <w:bCs/>
        <w:noProof/>
        <w:sz w:val="2"/>
        <w:szCs w:val="2"/>
      </w:rPr>
    </w:pPr>
    <w:bookmarkStart w:id="1" w:name="_Hlk84411131"/>
    <w:bookmarkStart w:id="2" w:name="_Hlk84411132"/>
  </w:p>
  <w:p w14:paraId="3401A679" w14:textId="77777777" w:rsidR="00D11269" w:rsidRPr="00D11269" w:rsidRDefault="004F70E3" w:rsidP="00D11269">
    <w:pPr>
      <w:pStyle w:val="Piedepgina"/>
      <w:tabs>
        <w:tab w:val="clear" w:pos="4419"/>
        <w:tab w:val="clear" w:pos="8838"/>
        <w:tab w:val="center" w:pos="5315"/>
        <w:tab w:val="right" w:pos="10631"/>
      </w:tabs>
      <w:jc w:val="center"/>
      <w:rPr>
        <w:rFonts w:asciiTheme="majorHAnsi" w:hAnsiTheme="majorHAnsi" w:cstheme="majorHAnsi"/>
        <w:noProof/>
        <w:sz w:val="18"/>
        <w:szCs w:val="18"/>
      </w:rPr>
    </w:pPr>
    <w:r w:rsidRPr="00D11269">
      <w:rPr>
        <w:rFonts w:asciiTheme="majorHAnsi" w:hAnsiTheme="majorHAnsi" w:cstheme="majorHAnsi"/>
        <w:noProof/>
        <w:sz w:val="18"/>
        <w:szCs w:val="18"/>
      </w:rPr>
      <w:t>Carretera Federal a Cuernavaca No.5569, Pueblo de San Pedro Martir C. P. 14650</w:t>
    </w:r>
  </w:p>
  <w:p w14:paraId="3E5C4959" w14:textId="77777777" w:rsidR="00D11269" w:rsidRPr="00D11269" w:rsidRDefault="004F70E3" w:rsidP="00D11269">
    <w:pPr>
      <w:pStyle w:val="Piedepgina"/>
      <w:tabs>
        <w:tab w:val="center" w:pos="5173"/>
        <w:tab w:val="center" w:pos="5315"/>
        <w:tab w:val="right" w:pos="10631"/>
      </w:tabs>
      <w:jc w:val="center"/>
      <w:rPr>
        <w:rFonts w:asciiTheme="majorHAnsi" w:hAnsiTheme="majorHAnsi" w:cstheme="majorHAnsi"/>
        <w:noProof/>
        <w:sz w:val="12"/>
        <w:szCs w:val="12"/>
      </w:rPr>
    </w:pPr>
    <w:bookmarkStart w:id="3" w:name="_Hlk84410442"/>
    <w:bookmarkStart w:id="4" w:name="_Hlk84410443"/>
    <w:r w:rsidRPr="00D11269">
      <w:rPr>
        <w:rFonts w:asciiTheme="majorHAnsi" w:hAnsiTheme="majorHAnsi" w:cstheme="majorHAnsi"/>
        <w:noProof/>
        <w:sz w:val="18"/>
        <w:szCs w:val="18"/>
      </w:rPr>
      <w:t xml:space="preserve">Alcaldía de Tlalpan, Ciudad de </w:t>
    </w:r>
    <w:r w:rsidRPr="00D11269">
      <w:rPr>
        <w:rFonts w:asciiTheme="majorHAnsi" w:hAnsiTheme="majorHAnsi" w:cstheme="majorHAnsi"/>
        <w:noProof/>
        <w:sz w:val="18"/>
        <w:szCs w:val="18"/>
      </w:rPr>
      <w:t>México, Tel. 55 89 57 25 07</w:t>
    </w:r>
  </w:p>
  <w:p w14:paraId="7576A98E" w14:textId="77777777" w:rsidR="00D11269" w:rsidRPr="00C4740A" w:rsidRDefault="004F70E3" w:rsidP="00D11269">
    <w:pPr>
      <w:pStyle w:val="Piedepgina"/>
      <w:tabs>
        <w:tab w:val="center" w:pos="5173"/>
        <w:tab w:val="center" w:pos="5315"/>
        <w:tab w:val="right" w:pos="10631"/>
      </w:tabs>
      <w:jc w:val="both"/>
    </w:pPr>
    <w:r w:rsidRPr="003C1AA8">
      <w:rPr>
        <w:rFonts w:ascii="Arial Black" w:hAnsi="Arial Black" w:cs="Arial"/>
        <w:noProof/>
        <w:color w:val="A6A6A6"/>
        <w:sz w:val="44"/>
        <w:szCs w:val="44"/>
      </w:rPr>
      <w:t>TLALPAN, GRANDE COMO SU GENTE</w:t>
    </w:r>
    <w:bookmarkEnd w:id="1"/>
    <w:bookmarkEnd w:id="2"/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8E53" w14:textId="77777777" w:rsidR="00D11269" w:rsidRDefault="004F70E3" w:rsidP="00D11269">
    <w:pPr>
      <w:pStyle w:val="Encabezado"/>
      <w:ind w:left="-284"/>
    </w:pPr>
    <w:bookmarkStart w:id="0" w:name="_Hlk84411109"/>
    <w:r>
      <w:rPr>
        <w:rFonts w:ascii="Arial" w:hAnsi="Arial" w:cs="Arial"/>
        <w:noProof/>
        <w:sz w:val="12"/>
        <w:szCs w:val="12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C2B71" wp14:editId="431B75E7">
              <wp:simplePos x="0" y="0"/>
              <wp:positionH relativeFrom="column">
                <wp:posOffset>1594485</wp:posOffset>
              </wp:positionH>
              <wp:positionV relativeFrom="paragraph">
                <wp:posOffset>162560</wp:posOffset>
              </wp:positionV>
              <wp:extent cx="635" cy="790575"/>
              <wp:effectExtent l="13335" t="10160" r="14605" b="8890"/>
              <wp:wrapNone/>
              <wp:docPr id="10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90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D135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" o:spid="_x0000_s1026" type="#_x0000_t32" style="position:absolute;margin-left:125.55pt;margin-top:12.8pt;width:.0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" strokeweight="1pt"/>
          </w:pict>
        </mc:Fallback>
      </mc:AlternateContent>
    </w:r>
    <w:r>
      <w:rPr>
        <w:rFonts w:ascii="Arial" w:hAnsi="Arial" w:cs="Arial"/>
        <w:noProof/>
        <w:sz w:val="12"/>
        <w:szCs w:val="12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6EF78" wp14:editId="469D8C2F">
              <wp:simplePos x="0" y="0"/>
              <wp:positionH relativeFrom="column">
                <wp:posOffset>1745615</wp:posOffset>
              </wp:positionH>
              <wp:positionV relativeFrom="paragraph">
                <wp:posOffset>68580</wp:posOffset>
              </wp:positionV>
              <wp:extent cx="2622550" cy="704850"/>
              <wp:effectExtent l="2540" t="1905" r="381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435DA" w14:textId="77777777" w:rsidR="00D11269" w:rsidRPr="00FD19F0" w:rsidRDefault="004F70E3" w:rsidP="00D11269">
                          <w:pPr>
                            <w:rPr>
                              <w:rFonts w:ascii="Arial Black" w:hAnsi="Arial Black" w:cs="Calibri"/>
                              <w:color w:val="808080"/>
                            </w:rPr>
                          </w:pPr>
                          <w:r w:rsidRPr="00FD19F0">
                            <w:rPr>
                              <w:rFonts w:ascii="Arial Black" w:hAnsi="Arial Black" w:cs="Calibri"/>
                              <w:color w:val="808080"/>
                            </w:rPr>
                            <w:t xml:space="preserve">DIRECCIÓN GENERAL </w:t>
                          </w:r>
                        </w:p>
                        <w:p w14:paraId="4402D16C" w14:textId="77777777" w:rsidR="00D11269" w:rsidRPr="00FD19F0" w:rsidRDefault="004F70E3" w:rsidP="00D11269">
                          <w:pPr>
                            <w:rPr>
                              <w:rFonts w:ascii="Arial Black" w:hAnsi="Arial Black"/>
                            </w:rPr>
                          </w:pPr>
                          <w:r w:rsidRPr="00FD19F0">
                            <w:rPr>
                              <w:rFonts w:ascii="Arial Black" w:hAnsi="Arial Black" w:cs="Calibri"/>
                              <w:color w:val="808080"/>
                            </w:rPr>
                            <w:t>DE</w:t>
                          </w:r>
                          <w:r w:rsidRPr="00FD19F0">
                            <w:rPr>
                              <w:rFonts w:ascii="Arial Black" w:hAnsi="Arial Black" w:cs="Calibri"/>
                            </w:rPr>
                            <w:t xml:space="preserve"> SERVICIOS URBANOS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6EF7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137.45pt;margin-top:5.4pt;width:20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" stroked="f">
              <v:textbox>
                <w:txbxContent>
                  <w:p w14:paraId="4E3435DA" w14:textId="77777777" w:rsidR="00D11269" w:rsidRPr="00FD19F0" w:rsidRDefault="004F70E3" w:rsidP="00D11269">
                    <w:pPr>
                      <w:rPr>
                        <w:rFonts w:ascii="Arial Black" w:hAnsi="Arial Black" w:cs="Calibri"/>
                        <w:color w:val="808080"/>
                      </w:rPr>
                    </w:pPr>
                    <w:r w:rsidRPr="00FD19F0">
                      <w:rPr>
                        <w:rFonts w:ascii="Arial Black" w:hAnsi="Arial Black" w:cs="Calibri"/>
                        <w:color w:val="808080"/>
                      </w:rPr>
                      <w:t xml:space="preserve">DIRECCIÓN GENERAL </w:t>
                    </w:r>
                  </w:p>
                  <w:p w14:paraId="4402D16C" w14:textId="77777777" w:rsidR="00D11269" w:rsidRPr="00FD19F0" w:rsidRDefault="004F70E3" w:rsidP="00D11269">
                    <w:pPr>
                      <w:rPr>
                        <w:rFonts w:ascii="Arial Black" w:hAnsi="Arial Black"/>
                      </w:rPr>
                    </w:pPr>
                    <w:r w:rsidRPr="00FD19F0">
                      <w:rPr>
                        <w:rFonts w:ascii="Arial Black" w:hAnsi="Arial Black" w:cs="Calibri"/>
                        <w:color w:val="808080"/>
                      </w:rPr>
                      <w:t>DE</w:t>
                    </w:r>
                    <w:r w:rsidRPr="00FD19F0">
                      <w:rPr>
                        <w:rFonts w:ascii="Arial Black" w:hAnsi="Arial Black" w:cs="Calibri"/>
                      </w:rPr>
                      <w:t xml:space="preserve"> SERVICIOS URBANOS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2517CCC1" wp14:editId="1D16CE40">
          <wp:extent cx="1695450" cy="85725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FACC098" w14:textId="77777777" w:rsidR="00D11269" w:rsidRDefault="004F70E3" w:rsidP="00D112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732"/>
    <w:multiLevelType w:val="hybridMultilevel"/>
    <w:tmpl w:val="984AFD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9634D"/>
    <w:multiLevelType w:val="hybridMultilevel"/>
    <w:tmpl w:val="A204F0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167FE"/>
    <w:multiLevelType w:val="hybridMultilevel"/>
    <w:tmpl w:val="85DA8D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E3"/>
    <w:rsid w:val="004F70E3"/>
    <w:rsid w:val="00845CC6"/>
    <w:rsid w:val="0086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D0F6"/>
  <w15:chartTrackingRefBased/>
  <w15:docId w15:val="{10936E3A-5023-4A17-B530-38B0232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70E3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F70E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F70E3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70E3"/>
    <w:rPr>
      <w:lang w:val="es-MX"/>
    </w:rPr>
  </w:style>
  <w:style w:type="paragraph" w:styleId="Prrafodelista">
    <w:name w:val="List Paragraph"/>
    <w:basedOn w:val="Normal"/>
    <w:uiPriority w:val="34"/>
    <w:qFormat/>
    <w:rsid w:val="004F70E3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MTRA.EDITH GONZALEZ</dc:creator>
  <cp:keywords/>
  <dc:description/>
  <cp:lastModifiedBy>MTRA.EDITH GONZALEZ</cp:lastModifiedBy>
  <cp:revision>1</cp:revision>
  <dcterms:created xsi:type="dcterms:W3CDTF">2022-04-27T17:40:00Z</dcterms:created>
  <dcterms:modified xsi:type="dcterms:W3CDTF">2022-04-27T17:45:00Z</dcterms:modified>
</cp:coreProperties>
</file>