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4F6F5" w14:textId="5A4A2D60" w:rsidR="00711E37" w:rsidRDefault="00711E37" w:rsidP="005C54F7">
      <w:pPr>
        <w:spacing w:after="0" w:line="360" w:lineRule="auto"/>
        <w:jc w:val="center"/>
        <w:rPr>
          <w:rFonts w:ascii="Roboto" w:hAnsi="Roboto"/>
          <w:b/>
          <w:bCs/>
          <w:sz w:val="22"/>
          <w:szCs w:val="22"/>
        </w:rPr>
      </w:pPr>
      <w:r w:rsidRPr="004D51C1">
        <w:rPr>
          <w:rFonts w:ascii="Roboto" w:hAnsi="Roboto"/>
          <w:b/>
          <w:bCs/>
          <w:sz w:val="22"/>
          <w:szCs w:val="22"/>
        </w:rPr>
        <w:t>Dirección General de Participación Ciudadana</w:t>
      </w:r>
      <w:r w:rsidR="004D51C1">
        <w:rPr>
          <w:rFonts w:ascii="Roboto" w:hAnsi="Roboto"/>
          <w:b/>
          <w:bCs/>
          <w:sz w:val="22"/>
          <w:szCs w:val="22"/>
        </w:rPr>
        <w:t xml:space="preserve"> </w:t>
      </w:r>
    </w:p>
    <w:p w14:paraId="4C7C641F" w14:textId="77777777" w:rsidR="004D51C1" w:rsidRDefault="004D51C1" w:rsidP="005C54F7">
      <w:pPr>
        <w:spacing w:after="0" w:line="360" w:lineRule="auto"/>
        <w:rPr>
          <w:rFonts w:ascii="Roboto" w:hAnsi="Roboto"/>
          <w:b/>
          <w:bCs/>
          <w:sz w:val="22"/>
          <w:szCs w:val="22"/>
        </w:rPr>
      </w:pPr>
    </w:p>
    <w:p w14:paraId="6D58750B" w14:textId="0F1C51D7" w:rsidR="000756AA" w:rsidRPr="004D51C1" w:rsidRDefault="00711E37" w:rsidP="005C54F7">
      <w:pPr>
        <w:spacing w:after="0" w:line="360" w:lineRule="auto"/>
        <w:rPr>
          <w:rFonts w:ascii="Roboto" w:hAnsi="Roboto"/>
          <w:b/>
          <w:bCs/>
          <w:sz w:val="22"/>
          <w:szCs w:val="22"/>
        </w:rPr>
      </w:pPr>
      <w:r w:rsidRPr="004D51C1">
        <w:rPr>
          <w:rFonts w:ascii="Roboto" w:hAnsi="Roboto"/>
          <w:b/>
          <w:bCs/>
          <w:sz w:val="22"/>
          <w:szCs w:val="22"/>
        </w:rPr>
        <w:t>Presupuesto Participativo 2025</w:t>
      </w:r>
    </w:p>
    <w:p w14:paraId="03B5A635" w14:textId="77777777" w:rsidR="00711E37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>De acuerdo con la Ley de Participación Ciudadana, el Presupuesto Participativo garantiza el derecho de la ciudadanía a decidir sobre la aplicación del recurso otorgado por el Gobierno de la Ciudad de México, con el propósito de mejorar su entorno y tejido social.</w:t>
      </w:r>
    </w:p>
    <w:p w14:paraId="6AB6047C" w14:textId="77777777" w:rsidR="00711E37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>En la Alcaldía Tlalpan, el proceso se realizó conforme a la convocatoria emitida por el Instituto Electoral de la Ciudad de México, con los siguientes resultados: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22"/>
        <w:gridCol w:w="1901"/>
        <w:gridCol w:w="1746"/>
        <w:gridCol w:w="1809"/>
        <w:gridCol w:w="1450"/>
      </w:tblGrid>
      <w:tr w:rsidR="0026319E" w:rsidRPr="004D51C1" w14:paraId="176E8354" w14:textId="3E953685" w:rsidTr="00943CF9">
        <w:trPr>
          <w:trHeight w:val="675"/>
        </w:trPr>
        <w:tc>
          <w:tcPr>
            <w:tcW w:w="1922" w:type="dxa"/>
          </w:tcPr>
          <w:p w14:paraId="0741E76A" w14:textId="77777777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901" w:type="dxa"/>
          </w:tcPr>
          <w:p w14:paraId="06577633" w14:textId="66B5C7E5" w:rsidR="0026319E" w:rsidRPr="00201C81" w:rsidRDefault="0026319E" w:rsidP="005C54F7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201C81">
              <w:rPr>
                <w:rFonts w:ascii="Roboto" w:hAnsi="Roboto"/>
                <w:b/>
                <w:sz w:val="18"/>
                <w:szCs w:val="18"/>
              </w:rPr>
              <w:t>Proyectos registrados</w:t>
            </w:r>
          </w:p>
        </w:tc>
        <w:tc>
          <w:tcPr>
            <w:tcW w:w="1746" w:type="dxa"/>
          </w:tcPr>
          <w:p w14:paraId="5F198228" w14:textId="77777777" w:rsidR="00943CF9" w:rsidRPr="00201C81" w:rsidRDefault="00943CF9" w:rsidP="005C54F7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</w:p>
          <w:p w14:paraId="645E27D7" w14:textId="7BE6C4D1" w:rsidR="0026319E" w:rsidRPr="00201C81" w:rsidRDefault="0026319E" w:rsidP="005C54F7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201C81">
              <w:rPr>
                <w:rFonts w:ascii="Roboto" w:hAnsi="Roboto"/>
                <w:b/>
                <w:sz w:val="18"/>
                <w:szCs w:val="18"/>
              </w:rPr>
              <w:t>Viables</w:t>
            </w:r>
          </w:p>
        </w:tc>
        <w:tc>
          <w:tcPr>
            <w:tcW w:w="1809" w:type="dxa"/>
          </w:tcPr>
          <w:p w14:paraId="3BF60D52" w14:textId="77777777" w:rsidR="00943CF9" w:rsidRPr="00201C81" w:rsidRDefault="00943CF9" w:rsidP="005C54F7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</w:p>
          <w:p w14:paraId="0B2B4E7B" w14:textId="70A318A9" w:rsidR="0026319E" w:rsidRPr="00201C81" w:rsidRDefault="0026319E" w:rsidP="005C54F7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201C81">
              <w:rPr>
                <w:rFonts w:ascii="Roboto" w:hAnsi="Roboto"/>
                <w:b/>
                <w:sz w:val="18"/>
                <w:szCs w:val="18"/>
              </w:rPr>
              <w:t>Inviables</w:t>
            </w:r>
          </w:p>
        </w:tc>
        <w:tc>
          <w:tcPr>
            <w:tcW w:w="1450" w:type="dxa"/>
          </w:tcPr>
          <w:p w14:paraId="7D5959B7" w14:textId="1E4DC9CC" w:rsidR="0026319E" w:rsidRPr="00201C81" w:rsidRDefault="0026319E" w:rsidP="005C54F7">
            <w:pPr>
              <w:spacing w:line="360" w:lineRule="auto"/>
              <w:jc w:val="center"/>
              <w:rPr>
                <w:rFonts w:ascii="Roboto" w:hAnsi="Roboto"/>
                <w:b/>
                <w:sz w:val="18"/>
                <w:szCs w:val="18"/>
              </w:rPr>
            </w:pPr>
            <w:r w:rsidRPr="00201C81">
              <w:rPr>
                <w:rFonts w:ascii="Roboto" w:hAnsi="Roboto"/>
                <w:b/>
                <w:sz w:val="18"/>
                <w:szCs w:val="18"/>
              </w:rPr>
              <w:t>Proyectos ganadores</w:t>
            </w:r>
          </w:p>
        </w:tc>
      </w:tr>
      <w:tr w:rsidR="0026319E" w:rsidRPr="004D51C1" w14:paraId="67451FF7" w14:textId="67D3B3AB" w:rsidTr="00943CF9">
        <w:trPr>
          <w:trHeight w:val="825"/>
        </w:trPr>
        <w:tc>
          <w:tcPr>
            <w:tcW w:w="1922" w:type="dxa"/>
          </w:tcPr>
          <w:p w14:paraId="154D332D" w14:textId="77777777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Unidades Territoriales</w:t>
            </w:r>
          </w:p>
          <w:p w14:paraId="05B0DB4D" w14:textId="061957E2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</w:p>
        </w:tc>
        <w:tc>
          <w:tcPr>
            <w:tcW w:w="1901" w:type="dxa"/>
          </w:tcPr>
          <w:p w14:paraId="6CD9CBC6" w14:textId="349E527B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2,111</w:t>
            </w:r>
          </w:p>
        </w:tc>
        <w:tc>
          <w:tcPr>
            <w:tcW w:w="1746" w:type="dxa"/>
          </w:tcPr>
          <w:p w14:paraId="7A6B4A9C" w14:textId="4DB0F00E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1,269</w:t>
            </w:r>
          </w:p>
        </w:tc>
        <w:tc>
          <w:tcPr>
            <w:tcW w:w="1809" w:type="dxa"/>
          </w:tcPr>
          <w:p w14:paraId="011A413B" w14:textId="5BBA4C55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842</w:t>
            </w:r>
          </w:p>
        </w:tc>
        <w:tc>
          <w:tcPr>
            <w:tcW w:w="1450" w:type="dxa"/>
            <w:vMerge w:val="restart"/>
          </w:tcPr>
          <w:p w14:paraId="5C9AB04A" w14:textId="77777777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  <w:p w14:paraId="3C93ABB6" w14:textId="77777777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  <w:p w14:paraId="3FA0A06E" w14:textId="3569F2C8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182</w:t>
            </w:r>
          </w:p>
        </w:tc>
      </w:tr>
      <w:tr w:rsidR="0026319E" w:rsidRPr="004D51C1" w14:paraId="09533EA8" w14:textId="103778BA" w:rsidTr="0026319E">
        <w:tc>
          <w:tcPr>
            <w:tcW w:w="1922" w:type="dxa"/>
          </w:tcPr>
          <w:p w14:paraId="61E83506" w14:textId="63C8A54D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Pueblos</w:t>
            </w:r>
          </w:p>
        </w:tc>
        <w:tc>
          <w:tcPr>
            <w:tcW w:w="1901" w:type="dxa"/>
          </w:tcPr>
          <w:p w14:paraId="30236E47" w14:textId="7315389C" w:rsidR="00943CF9" w:rsidRPr="004D51C1" w:rsidRDefault="00943CF9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10</w:t>
            </w:r>
          </w:p>
          <w:p w14:paraId="24471ADF" w14:textId="6C17B005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1746" w:type="dxa"/>
          </w:tcPr>
          <w:p w14:paraId="56DEA1DF" w14:textId="2BC04B70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9</w:t>
            </w:r>
          </w:p>
        </w:tc>
        <w:tc>
          <w:tcPr>
            <w:tcW w:w="1809" w:type="dxa"/>
          </w:tcPr>
          <w:p w14:paraId="35F4BF14" w14:textId="1D45B804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</w:t>
            </w:r>
          </w:p>
        </w:tc>
        <w:tc>
          <w:tcPr>
            <w:tcW w:w="1450" w:type="dxa"/>
            <w:vMerge/>
          </w:tcPr>
          <w:p w14:paraId="3B1F261A" w14:textId="77777777" w:rsidR="0026319E" w:rsidRPr="004D51C1" w:rsidRDefault="0026319E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74844430" w14:textId="3827106E" w:rsidR="0026319E" w:rsidRPr="004D51C1" w:rsidRDefault="0026319E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7E622DE1" w14:textId="103CA70A" w:rsidR="0026319E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>Este ejercicio reflejó un mayor índice de participación ciudadana en comparación con los últimos cinco años: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75656" w:rsidRPr="004D51C1" w14:paraId="0EB9929E" w14:textId="77777777" w:rsidTr="00C42ED6">
        <w:tc>
          <w:tcPr>
            <w:tcW w:w="8828" w:type="dxa"/>
            <w:gridSpan w:val="2"/>
          </w:tcPr>
          <w:p w14:paraId="2DE39435" w14:textId="70DACABF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Proyectos Registrados de Presupuesto Participativo (2020-2025)</w:t>
            </w:r>
          </w:p>
        </w:tc>
      </w:tr>
      <w:tr w:rsidR="00675656" w:rsidRPr="004D51C1" w14:paraId="4362809A" w14:textId="77777777" w:rsidTr="00675656">
        <w:tc>
          <w:tcPr>
            <w:tcW w:w="4414" w:type="dxa"/>
          </w:tcPr>
          <w:p w14:paraId="003A7751" w14:textId="0D3BE15A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2020</w:t>
            </w:r>
          </w:p>
        </w:tc>
        <w:tc>
          <w:tcPr>
            <w:tcW w:w="4414" w:type="dxa"/>
          </w:tcPr>
          <w:p w14:paraId="5E000F94" w14:textId="06A6CCA5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1,733</w:t>
            </w:r>
          </w:p>
        </w:tc>
      </w:tr>
      <w:tr w:rsidR="00675656" w:rsidRPr="004D51C1" w14:paraId="254C33DC" w14:textId="77777777" w:rsidTr="00675656">
        <w:tc>
          <w:tcPr>
            <w:tcW w:w="4414" w:type="dxa"/>
          </w:tcPr>
          <w:p w14:paraId="34EC6206" w14:textId="7F516BA2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2021</w:t>
            </w:r>
          </w:p>
        </w:tc>
        <w:tc>
          <w:tcPr>
            <w:tcW w:w="4414" w:type="dxa"/>
          </w:tcPr>
          <w:p w14:paraId="6B793DFE" w14:textId="02410E01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1,445</w:t>
            </w:r>
          </w:p>
        </w:tc>
      </w:tr>
      <w:tr w:rsidR="00675656" w:rsidRPr="004D51C1" w14:paraId="3DC42BED" w14:textId="77777777" w:rsidTr="00675656">
        <w:tc>
          <w:tcPr>
            <w:tcW w:w="4414" w:type="dxa"/>
          </w:tcPr>
          <w:p w14:paraId="776E38B0" w14:textId="1476D55D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2022</w:t>
            </w:r>
          </w:p>
        </w:tc>
        <w:tc>
          <w:tcPr>
            <w:tcW w:w="4414" w:type="dxa"/>
          </w:tcPr>
          <w:p w14:paraId="5A81B9DD" w14:textId="35E675C5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1,477</w:t>
            </w:r>
          </w:p>
        </w:tc>
      </w:tr>
      <w:tr w:rsidR="00675656" w:rsidRPr="004D51C1" w14:paraId="4ADE19FB" w14:textId="77777777" w:rsidTr="00675656">
        <w:tc>
          <w:tcPr>
            <w:tcW w:w="4414" w:type="dxa"/>
          </w:tcPr>
          <w:p w14:paraId="29D5F85E" w14:textId="5E9AE679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2023</w:t>
            </w:r>
          </w:p>
        </w:tc>
        <w:tc>
          <w:tcPr>
            <w:tcW w:w="4414" w:type="dxa"/>
          </w:tcPr>
          <w:p w14:paraId="10A5FCC0" w14:textId="4972C58A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1,920</w:t>
            </w:r>
          </w:p>
        </w:tc>
      </w:tr>
      <w:tr w:rsidR="00675656" w:rsidRPr="004D51C1" w14:paraId="58F96DE6" w14:textId="77777777" w:rsidTr="00675656">
        <w:tc>
          <w:tcPr>
            <w:tcW w:w="4414" w:type="dxa"/>
          </w:tcPr>
          <w:p w14:paraId="45978FEB" w14:textId="52BED891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2024</w:t>
            </w:r>
          </w:p>
        </w:tc>
        <w:tc>
          <w:tcPr>
            <w:tcW w:w="4414" w:type="dxa"/>
          </w:tcPr>
          <w:p w14:paraId="62790D20" w14:textId="782EF629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1,648</w:t>
            </w:r>
          </w:p>
        </w:tc>
      </w:tr>
      <w:tr w:rsidR="00675656" w:rsidRPr="004D51C1" w14:paraId="7C5695C4" w14:textId="77777777" w:rsidTr="00675656">
        <w:tc>
          <w:tcPr>
            <w:tcW w:w="4414" w:type="dxa"/>
          </w:tcPr>
          <w:p w14:paraId="73F9F242" w14:textId="2C7BF00B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2025</w:t>
            </w:r>
          </w:p>
        </w:tc>
        <w:tc>
          <w:tcPr>
            <w:tcW w:w="4414" w:type="dxa"/>
          </w:tcPr>
          <w:p w14:paraId="56CFC8C8" w14:textId="7A3AB740" w:rsidR="00675656" w:rsidRPr="004D51C1" w:rsidRDefault="00675656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2,111</w:t>
            </w:r>
          </w:p>
        </w:tc>
      </w:tr>
    </w:tbl>
    <w:p w14:paraId="5ECF8942" w14:textId="60DDE2B8" w:rsidR="0026319E" w:rsidRPr="004D51C1" w:rsidRDefault="004D51C1" w:rsidP="005C54F7">
      <w:pPr>
        <w:spacing w:after="0" w:line="360" w:lineRule="auto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1A3192F" wp14:editId="3B4F9D6D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5124450" cy="2914650"/>
            <wp:effectExtent l="0" t="0" r="0" b="0"/>
            <wp:wrapNone/>
            <wp:docPr id="3" name="object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ject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524B2" w14:textId="19E77E1D" w:rsidR="0026319E" w:rsidRPr="004D51C1" w:rsidRDefault="0026319E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13E4EAE7" w14:textId="6981C054" w:rsidR="0026319E" w:rsidRPr="004D51C1" w:rsidRDefault="0026319E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75347E37" w14:textId="77777777" w:rsidR="0026319E" w:rsidRPr="004D51C1" w:rsidRDefault="0026319E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5833B0A4" w14:textId="77777777" w:rsidR="00E16705" w:rsidRPr="004D51C1" w:rsidRDefault="00E16705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3F0CA7AF" w14:textId="77777777" w:rsidR="00E16705" w:rsidRPr="004D51C1" w:rsidRDefault="00E16705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330DA034" w14:textId="77777777" w:rsidR="00E16705" w:rsidRPr="004D51C1" w:rsidRDefault="00E16705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045AA810" w14:textId="77777777" w:rsidR="00E16705" w:rsidRPr="004D51C1" w:rsidRDefault="00E16705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0AC4A1CA" w14:textId="21C6F45F" w:rsidR="00711E37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lastRenderedPageBreak/>
        <w:t xml:space="preserve">Como resultado de la inscripción de proyectos, se realizaron </w:t>
      </w:r>
      <w:r w:rsidRPr="004D51C1">
        <w:rPr>
          <w:rFonts w:ascii="Roboto" w:hAnsi="Roboto"/>
          <w:b/>
          <w:bCs/>
          <w:sz w:val="22"/>
          <w:szCs w:val="22"/>
        </w:rPr>
        <w:t>15 sesiones del Órgano Dictaminador</w:t>
      </w:r>
      <w:r w:rsidRPr="004D51C1">
        <w:rPr>
          <w:rFonts w:ascii="Roboto" w:hAnsi="Roboto"/>
          <w:sz w:val="22"/>
          <w:szCs w:val="22"/>
        </w:rPr>
        <w:t>, distribuidas de la siguiente manera: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37E3F" w:rsidRPr="004D51C1" w14:paraId="367084D9" w14:textId="77777777" w:rsidTr="00217101">
        <w:tc>
          <w:tcPr>
            <w:tcW w:w="8828" w:type="dxa"/>
            <w:gridSpan w:val="3"/>
          </w:tcPr>
          <w:p w14:paraId="13AEDD67" w14:textId="31DA5067" w:rsidR="00037E3F" w:rsidRPr="004D51C1" w:rsidRDefault="00037E3F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Sesiones del Ó</w:t>
            </w:r>
            <w:r w:rsidR="00943CF9" w:rsidRPr="004D51C1">
              <w:rPr>
                <w:rFonts w:ascii="Roboto" w:hAnsi="Roboto"/>
                <w:b/>
                <w:sz w:val="22"/>
                <w:szCs w:val="22"/>
              </w:rPr>
              <w:t>rgano Dictaminador de la Alcaldí</w:t>
            </w:r>
            <w:r w:rsidRPr="004D51C1">
              <w:rPr>
                <w:rFonts w:ascii="Roboto" w:hAnsi="Roboto"/>
                <w:b/>
                <w:sz w:val="22"/>
                <w:szCs w:val="22"/>
              </w:rPr>
              <w:t>a</w:t>
            </w:r>
          </w:p>
        </w:tc>
      </w:tr>
      <w:tr w:rsidR="00037E3F" w:rsidRPr="004D51C1" w14:paraId="53DDAD9B" w14:textId="77777777" w:rsidTr="00037E3F">
        <w:tc>
          <w:tcPr>
            <w:tcW w:w="2942" w:type="dxa"/>
          </w:tcPr>
          <w:p w14:paraId="15A536CD" w14:textId="7F1C3AA7" w:rsidR="00037E3F" w:rsidRPr="004D51C1" w:rsidRDefault="00037E3F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Ordinarias</w:t>
            </w:r>
          </w:p>
        </w:tc>
        <w:tc>
          <w:tcPr>
            <w:tcW w:w="2943" w:type="dxa"/>
          </w:tcPr>
          <w:p w14:paraId="7E341243" w14:textId="099B859A" w:rsidR="00037E3F" w:rsidRPr="004D51C1" w:rsidRDefault="00037E3F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Extraordinarias</w:t>
            </w:r>
          </w:p>
        </w:tc>
        <w:tc>
          <w:tcPr>
            <w:tcW w:w="2943" w:type="dxa"/>
          </w:tcPr>
          <w:p w14:paraId="2EAD9298" w14:textId="4C74D702" w:rsidR="00037E3F" w:rsidRPr="004D51C1" w:rsidRDefault="00037E3F" w:rsidP="005C54F7">
            <w:pPr>
              <w:spacing w:line="360" w:lineRule="auto"/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4D51C1">
              <w:rPr>
                <w:rFonts w:ascii="Roboto" w:hAnsi="Roboto"/>
                <w:b/>
                <w:sz w:val="22"/>
                <w:szCs w:val="22"/>
              </w:rPr>
              <w:t>Urgentes</w:t>
            </w:r>
          </w:p>
        </w:tc>
      </w:tr>
      <w:tr w:rsidR="00037E3F" w:rsidRPr="004D51C1" w14:paraId="7ADF795B" w14:textId="77777777" w:rsidTr="00037E3F">
        <w:tc>
          <w:tcPr>
            <w:tcW w:w="2942" w:type="dxa"/>
          </w:tcPr>
          <w:p w14:paraId="7A59EBB9" w14:textId="163BC6E5" w:rsidR="00037E3F" w:rsidRPr="004D51C1" w:rsidRDefault="00037E3F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12</w:t>
            </w:r>
          </w:p>
        </w:tc>
        <w:tc>
          <w:tcPr>
            <w:tcW w:w="2943" w:type="dxa"/>
          </w:tcPr>
          <w:p w14:paraId="66B4FEEF" w14:textId="45A1BF49" w:rsidR="00037E3F" w:rsidRPr="004D51C1" w:rsidRDefault="00037E3F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02</w:t>
            </w:r>
          </w:p>
        </w:tc>
        <w:tc>
          <w:tcPr>
            <w:tcW w:w="2943" w:type="dxa"/>
          </w:tcPr>
          <w:p w14:paraId="48A4F1DD" w14:textId="11191B78" w:rsidR="00037E3F" w:rsidRPr="004D51C1" w:rsidRDefault="00037E3F" w:rsidP="005C54F7">
            <w:pPr>
              <w:spacing w:line="360" w:lineRule="auto"/>
              <w:jc w:val="center"/>
              <w:rPr>
                <w:rFonts w:ascii="Roboto" w:hAnsi="Roboto"/>
                <w:sz w:val="22"/>
                <w:szCs w:val="22"/>
              </w:rPr>
            </w:pPr>
            <w:r w:rsidRPr="004D51C1">
              <w:rPr>
                <w:rFonts w:ascii="Roboto" w:hAnsi="Roboto"/>
                <w:sz w:val="22"/>
                <w:szCs w:val="22"/>
              </w:rPr>
              <w:t>01</w:t>
            </w:r>
          </w:p>
        </w:tc>
      </w:tr>
    </w:tbl>
    <w:p w14:paraId="57CA805F" w14:textId="53AE895E" w:rsidR="00037E3F" w:rsidRPr="004D51C1" w:rsidRDefault="00037E3F" w:rsidP="005C54F7">
      <w:pPr>
        <w:spacing w:after="0" w:line="360" w:lineRule="auto"/>
        <w:rPr>
          <w:rFonts w:ascii="Roboto" w:hAnsi="Roboto"/>
          <w:sz w:val="22"/>
          <w:szCs w:val="22"/>
        </w:rPr>
      </w:pPr>
    </w:p>
    <w:p w14:paraId="46B37069" w14:textId="665C6910" w:rsidR="00DD25BC" w:rsidRPr="004D51C1" w:rsidRDefault="00711E37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 xml:space="preserve">Durante este ejercicio, se recibieron </w:t>
      </w:r>
      <w:r w:rsidRPr="004D51C1">
        <w:rPr>
          <w:rFonts w:ascii="Roboto" w:hAnsi="Roboto"/>
          <w:b/>
          <w:bCs/>
          <w:sz w:val="22"/>
          <w:szCs w:val="22"/>
        </w:rPr>
        <w:t>22 solicitudes de redictaminación de proyectos</w:t>
      </w:r>
      <w:r w:rsidRPr="004D51C1">
        <w:rPr>
          <w:rFonts w:ascii="Roboto" w:hAnsi="Roboto"/>
          <w:sz w:val="22"/>
          <w:szCs w:val="22"/>
        </w:rPr>
        <w:t>, la cifra más baja de los últimos cuatro años. De estas, únicamente tres fueron recurridas ante el Tribunal Electoral de la Ciudad de México, el cual resolvió todos los casos a favor del Órgano Dictaminador.</w:t>
      </w:r>
    </w:p>
    <w:p w14:paraId="48B9E057" w14:textId="0D4B4CDA" w:rsidR="00DD25BC" w:rsidRPr="004D51C1" w:rsidRDefault="00DD25BC" w:rsidP="005C54F7">
      <w:pPr>
        <w:spacing w:after="0" w:line="360" w:lineRule="auto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noProof/>
          <w:sz w:val="22"/>
          <w:szCs w:val="22"/>
        </w:rPr>
        <w:drawing>
          <wp:inline distT="0" distB="0" distL="0" distR="0" wp14:anchorId="1CD00DA1" wp14:editId="3180C339">
            <wp:extent cx="5612130" cy="4638675"/>
            <wp:effectExtent l="0" t="0" r="7620" b="9525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3281A" w14:textId="77777777" w:rsidR="004D51C1" w:rsidRDefault="004D51C1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bookmarkStart w:id="0" w:name="_GoBack"/>
      <w:bookmarkEnd w:id="0"/>
    </w:p>
    <w:p w14:paraId="41351714" w14:textId="77777777" w:rsidR="004D51C1" w:rsidRDefault="004D51C1" w:rsidP="005C54F7">
      <w:pPr>
        <w:spacing w:after="0" w:line="360" w:lineRule="auto"/>
        <w:jc w:val="both"/>
        <w:rPr>
          <w:rFonts w:ascii="Roboto" w:hAnsi="Roboto"/>
          <w:sz w:val="22"/>
          <w:szCs w:val="22"/>
        </w:rPr>
      </w:pPr>
    </w:p>
    <w:p w14:paraId="512C7DFF" w14:textId="049A7C7B" w:rsidR="004D51C1" w:rsidRPr="004D51C1" w:rsidRDefault="00711E37" w:rsidP="004D51C1">
      <w:pPr>
        <w:spacing w:after="0" w:line="360" w:lineRule="auto"/>
        <w:jc w:val="both"/>
        <w:rPr>
          <w:rFonts w:ascii="Roboto" w:hAnsi="Roboto"/>
          <w:sz w:val="22"/>
          <w:szCs w:val="22"/>
        </w:rPr>
      </w:pPr>
      <w:r w:rsidRPr="004D51C1">
        <w:rPr>
          <w:rFonts w:ascii="Roboto" w:hAnsi="Roboto"/>
          <w:sz w:val="22"/>
          <w:szCs w:val="22"/>
        </w:rPr>
        <w:t xml:space="preserve">De los </w:t>
      </w:r>
      <w:r w:rsidRPr="004D51C1">
        <w:rPr>
          <w:rFonts w:ascii="Roboto" w:hAnsi="Roboto"/>
          <w:b/>
          <w:bCs/>
          <w:sz w:val="22"/>
          <w:szCs w:val="22"/>
        </w:rPr>
        <w:t>182 proyectos ganadores</w:t>
      </w:r>
      <w:r w:rsidRPr="004D51C1">
        <w:rPr>
          <w:rFonts w:ascii="Roboto" w:hAnsi="Roboto"/>
          <w:sz w:val="22"/>
          <w:szCs w:val="22"/>
        </w:rPr>
        <w:t xml:space="preserve">, </w:t>
      </w:r>
      <w:r w:rsidRPr="004D51C1">
        <w:rPr>
          <w:rFonts w:ascii="Roboto" w:hAnsi="Roboto"/>
          <w:b/>
          <w:bCs/>
          <w:sz w:val="22"/>
          <w:szCs w:val="22"/>
        </w:rPr>
        <w:t>95 se ejecutarán a través de la Dirección General de Obras y Desarrollo Urbano</w:t>
      </w:r>
      <w:r w:rsidRPr="004D51C1">
        <w:rPr>
          <w:rFonts w:ascii="Roboto" w:hAnsi="Roboto"/>
          <w:sz w:val="22"/>
          <w:szCs w:val="22"/>
        </w:rPr>
        <w:t xml:space="preserve"> y </w:t>
      </w:r>
      <w:r w:rsidRPr="004D51C1">
        <w:rPr>
          <w:rFonts w:ascii="Roboto" w:hAnsi="Roboto"/>
          <w:b/>
          <w:bCs/>
          <w:sz w:val="22"/>
          <w:szCs w:val="22"/>
        </w:rPr>
        <w:t>87 por medio de la Dirección General de Administración y Finanzas</w:t>
      </w:r>
      <w:r w:rsidR="004D51C1">
        <w:rPr>
          <w:rFonts w:ascii="Roboto" w:hAnsi="Roboto"/>
          <w:sz w:val="22"/>
          <w:szCs w:val="22"/>
        </w:rPr>
        <w:t>.</w:t>
      </w:r>
    </w:p>
    <w:sectPr w:rsidR="004D51C1" w:rsidRPr="004D51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26DE1"/>
    <w:multiLevelType w:val="hybridMultilevel"/>
    <w:tmpl w:val="328C7062"/>
    <w:lvl w:ilvl="0" w:tplc="DA1CF2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AC4A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C4BCF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0245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E0859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58491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69BB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25FB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70FEC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A7"/>
    <w:rsid w:val="00020104"/>
    <w:rsid w:val="00037E3F"/>
    <w:rsid w:val="00042DBF"/>
    <w:rsid w:val="00064F37"/>
    <w:rsid w:val="000756AA"/>
    <w:rsid w:val="000A44AB"/>
    <w:rsid w:val="000C3271"/>
    <w:rsid w:val="0010064E"/>
    <w:rsid w:val="00106BA4"/>
    <w:rsid w:val="001136D8"/>
    <w:rsid w:val="00116240"/>
    <w:rsid w:val="00124388"/>
    <w:rsid w:val="0013644F"/>
    <w:rsid w:val="00143B61"/>
    <w:rsid w:val="00173C69"/>
    <w:rsid w:val="001A36A7"/>
    <w:rsid w:val="001C1799"/>
    <w:rsid w:val="001C4C73"/>
    <w:rsid w:val="00201C81"/>
    <w:rsid w:val="0021291A"/>
    <w:rsid w:val="0026319E"/>
    <w:rsid w:val="0028281C"/>
    <w:rsid w:val="002B5CE6"/>
    <w:rsid w:val="002D517C"/>
    <w:rsid w:val="002E729F"/>
    <w:rsid w:val="00314982"/>
    <w:rsid w:val="00322FE6"/>
    <w:rsid w:val="003451A8"/>
    <w:rsid w:val="00353407"/>
    <w:rsid w:val="003C3559"/>
    <w:rsid w:val="003C79E8"/>
    <w:rsid w:val="003D33CB"/>
    <w:rsid w:val="003D58C2"/>
    <w:rsid w:val="003E2A76"/>
    <w:rsid w:val="003E57C2"/>
    <w:rsid w:val="00421028"/>
    <w:rsid w:val="004339AC"/>
    <w:rsid w:val="0046062E"/>
    <w:rsid w:val="00464713"/>
    <w:rsid w:val="004A3056"/>
    <w:rsid w:val="004C686E"/>
    <w:rsid w:val="004D51C1"/>
    <w:rsid w:val="004E25CA"/>
    <w:rsid w:val="004F6CE2"/>
    <w:rsid w:val="00550089"/>
    <w:rsid w:val="005668C6"/>
    <w:rsid w:val="00576F11"/>
    <w:rsid w:val="005C54F7"/>
    <w:rsid w:val="005C6BFC"/>
    <w:rsid w:val="005E48EE"/>
    <w:rsid w:val="00603274"/>
    <w:rsid w:val="006248FB"/>
    <w:rsid w:val="00670CE8"/>
    <w:rsid w:val="00675656"/>
    <w:rsid w:val="00695CA7"/>
    <w:rsid w:val="007075DA"/>
    <w:rsid w:val="00711E37"/>
    <w:rsid w:val="00712BF4"/>
    <w:rsid w:val="00714D58"/>
    <w:rsid w:val="0073347C"/>
    <w:rsid w:val="00743DA4"/>
    <w:rsid w:val="007833CC"/>
    <w:rsid w:val="0079049F"/>
    <w:rsid w:val="007B4B98"/>
    <w:rsid w:val="007B79D1"/>
    <w:rsid w:val="007D5364"/>
    <w:rsid w:val="00804716"/>
    <w:rsid w:val="00871186"/>
    <w:rsid w:val="008965ED"/>
    <w:rsid w:val="008B3B71"/>
    <w:rsid w:val="00910F18"/>
    <w:rsid w:val="00922F45"/>
    <w:rsid w:val="00943CF9"/>
    <w:rsid w:val="00957CC5"/>
    <w:rsid w:val="00961FF8"/>
    <w:rsid w:val="009873C4"/>
    <w:rsid w:val="009E01FC"/>
    <w:rsid w:val="00A07AD1"/>
    <w:rsid w:val="00A1173A"/>
    <w:rsid w:val="00A14035"/>
    <w:rsid w:val="00A27203"/>
    <w:rsid w:val="00A36E53"/>
    <w:rsid w:val="00A47C51"/>
    <w:rsid w:val="00AB0799"/>
    <w:rsid w:val="00AB61E1"/>
    <w:rsid w:val="00AC658B"/>
    <w:rsid w:val="00B00DED"/>
    <w:rsid w:val="00B7378A"/>
    <w:rsid w:val="00B91BCE"/>
    <w:rsid w:val="00B9281D"/>
    <w:rsid w:val="00BE69AA"/>
    <w:rsid w:val="00CD7E98"/>
    <w:rsid w:val="00D152C1"/>
    <w:rsid w:val="00D41CB2"/>
    <w:rsid w:val="00D608FC"/>
    <w:rsid w:val="00D62E05"/>
    <w:rsid w:val="00D70F1E"/>
    <w:rsid w:val="00D7517B"/>
    <w:rsid w:val="00D92DFF"/>
    <w:rsid w:val="00DB6914"/>
    <w:rsid w:val="00DD19EB"/>
    <w:rsid w:val="00DD25BC"/>
    <w:rsid w:val="00DD32A1"/>
    <w:rsid w:val="00DD5696"/>
    <w:rsid w:val="00DF5E30"/>
    <w:rsid w:val="00E16705"/>
    <w:rsid w:val="00E26165"/>
    <w:rsid w:val="00E276DB"/>
    <w:rsid w:val="00E339B7"/>
    <w:rsid w:val="00E551DA"/>
    <w:rsid w:val="00E742A3"/>
    <w:rsid w:val="00E9019F"/>
    <w:rsid w:val="00ED19B1"/>
    <w:rsid w:val="00EF216A"/>
    <w:rsid w:val="00F3527E"/>
    <w:rsid w:val="00F5780A"/>
    <w:rsid w:val="00F660DB"/>
    <w:rsid w:val="00F860C9"/>
    <w:rsid w:val="00FA5942"/>
    <w:rsid w:val="00FD76FB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12FF"/>
  <w15:chartTrackingRefBased/>
  <w15:docId w15:val="{41A66464-7CB6-9249-9380-7B6C7094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5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5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5C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C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5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5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5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C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C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C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C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C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C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5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5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5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5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5C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5C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5C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5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5C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5CA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9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3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E53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7517B"/>
    <w:pPr>
      <w:spacing w:after="0" w:line="240" w:lineRule="auto"/>
    </w:pPr>
    <w:rPr>
      <w:rFonts w:eastAsia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7517B"/>
    <w:pPr>
      <w:spacing w:after="0" w:line="240" w:lineRule="auto"/>
    </w:pPr>
    <w:rPr>
      <w:rFonts w:eastAsia="Apto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3208">
          <w:marLeft w:val="374"/>
          <w:marRight w:val="1354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248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2496">
          <w:marLeft w:val="490"/>
          <w:marRight w:val="778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42B29-9136-4633-9A2F-7A99D9CD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Hernandez Silva</dc:creator>
  <cp:keywords/>
  <dc:description/>
  <cp:lastModifiedBy>Usuario</cp:lastModifiedBy>
  <cp:revision>2</cp:revision>
  <cp:lastPrinted>2025-09-24T19:40:00Z</cp:lastPrinted>
  <dcterms:created xsi:type="dcterms:W3CDTF">2025-10-15T16:33:00Z</dcterms:created>
  <dcterms:modified xsi:type="dcterms:W3CDTF">2025-10-15T16:33:00Z</dcterms:modified>
</cp:coreProperties>
</file>