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748" w:rsidRPr="001A5DA1" w:rsidRDefault="00910A21" w:rsidP="00390A0B">
      <w:pPr>
        <w:jc w:val="both"/>
        <w:rPr>
          <w:rFonts w:ascii="Arial" w:hAnsi="Arial" w:cs="Arial"/>
        </w:rPr>
      </w:pPr>
      <w:r w:rsidRPr="001A5DA1">
        <w:rPr>
          <w:rFonts w:ascii="Arial" w:hAnsi="Arial" w:cs="Arial"/>
        </w:rPr>
        <w:t>.</w:t>
      </w:r>
    </w:p>
    <w:p w:rsidR="001A5DA1" w:rsidRDefault="001A5DA1" w:rsidP="00390A0B">
      <w:pPr>
        <w:jc w:val="both"/>
        <w:rPr>
          <w:rFonts w:ascii="Arial" w:hAnsi="Arial" w:cs="Arial"/>
          <w:b/>
          <w:sz w:val="36"/>
        </w:rPr>
      </w:pPr>
    </w:p>
    <w:p w:rsidR="00910A21" w:rsidRPr="001A5DA1" w:rsidRDefault="001A5DA1" w:rsidP="00390A0B">
      <w:pPr>
        <w:jc w:val="both"/>
        <w:rPr>
          <w:rFonts w:ascii="Arial" w:hAnsi="Arial" w:cs="Arial"/>
          <w:b/>
          <w:sz w:val="36"/>
        </w:rPr>
      </w:pPr>
      <w:r w:rsidRPr="001A5DA1">
        <w:rPr>
          <w:rFonts w:ascii="Arial" w:hAnsi="Arial" w:cs="Arial"/>
          <w:b/>
          <w:sz w:val="36"/>
        </w:rPr>
        <w:t>NORMATIVIDAD</w:t>
      </w:r>
    </w:p>
    <w:p w:rsidR="00910A21" w:rsidRPr="001A5DA1" w:rsidRDefault="001A5DA1" w:rsidP="00390A0B">
      <w:pPr>
        <w:jc w:val="both"/>
        <w:rPr>
          <w:rFonts w:ascii="Arial" w:hAnsi="Arial" w:cs="Arial"/>
          <w:b/>
          <w:sz w:val="24"/>
          <w:u w:val="single"/>
        </w:rPr>
      </w:pPr>
      <w:r w:rsidRPr="001A5DA1">
        <w:rPr>
          <w:rFonts w:ascii="Arial" w:hAnsi="Arial" w:cs="Arial"/>
          <w:b/>
          <w:sz w:val="24"/>
          <w:highlight w:val="yellow"/>
          <w:u w:val="single"/>
        </w:rPr>
        <w:t>REGLAMENTO INTERIOR DEL INSTITUTO MEXICANO DEL SEGURO SOCIAL</w:t>
      </w:r>
    </w:p>
    <w:p w:rsidR="00910A21" w:rsidRPr="001A5DA1" w:rsidRDefault="00910A21" w:rsidP="00390A0B">
      <w:pPr>
        <w:jc w:val="both"/>
        <w:rPr>
          <w:rFonts w:ascii="Arial" w:hAnsi="Arial" w:cs="Arial"/>
        </w:rPr>
      </w:pPr>
      <w:r w:rsidRPr="001A5DA1">
        <w:rPr>
          <w:rFonts w:ascii="Arial" w:hAnsi="Arial" w:cs="Arial"/>
          <w:b/>
        </w:rPr>
        <w:t>Artículo 2</w:t>
      </w:r>
      <w:r w:rsidRPr="001A5DA1">
        <w:rPr>
          <w:rFonts w:ascii="Arial" w:hAnsi="Arial" w:cs="Arial"/>
        </w:rPr>
        <w:t>. Para los efectos de este Reglamento, serán aplicables las definiciones establecidas en el artículo 5 A de la Ley del Seguro Social, así como las siguientes:</w:t>
      </w:r>
    </w:p>
    <w:p w:rsidR="00910A21" w:rsidRPr="001A5DA1" w:rsidRDefault="00910A21" w:rsidP="00390A0B">
      <w:pPr>
        <w:ind w:firstLine="708"/>
        <w:jc w:val="both"/>
        <w:rPr>
          <w:rFonts w:ascii="Arial" w:hAnsi="Arial" w:cs="Arial"/>
        </w:rPr>
      </w:pPr>
      <w:r w:rsidRPr="001A5DA1">
        <w:rPr>
          <w:rFonts w:ascii="Arial" w:hAnsi="Arial" w:cs="Arial"/>
        </w:rPr>
        <w:t>IV. Órganos de Operación Administrativa Desconcentrada:</w:t>
      </w:r>
    </w:p>
    <w:p w:rsidR="00910A21" w:rsidRPr="001A5DA1" w:rsidRDefault="00910A21" w:rsidP="00390A0B">
      <w:pPr>
        <w:pStyle w:val="Prrafodelista"/>
        <w:numPr>
          <w:ilvl w:val="0"/>
          <w:numId w:val="1"/>
        </w:numPr>
        <w:jc w:val="both"/>
        <w:rPr>
          <w:rFonts w:ascii="Arial" w:hAnsi="Arial" w:cs="Arial"/>
        </w:rPr>
      </w:pPr>
      <w:r w:rsidRPr="001A5DA1">
        <w:rPr>
          <w:rFonts w:ascii="Arial" w:hAnsi="Arial" w:cs="Arial"/>
        </w:rPr>
        <w:t>Delega</w:t>
      </w:r>
      <w:r w:rsidRPr="001A5DA1">
        <w:rPr>
          <w:rFonts w:ascii="Arial" w:hAnsi="Arial" w:cs="Arial"/>
        </w:rPr>
        <w:t xml:space="preserve">ciones estatales y regionales. </w:t>
      </w:r>
    </w:p>
    <w:p w:rsidR="00390A0B" w:rsidRPr="001A5DA1" w:rsidRDefault="00390A0B" w:rsidP="00390A0B">
      <w:pPr>
        <w:jc w:val="both"/>
        <w:rPr>
          <w:rFonts w:ascii="Arial" w:hAnsi="Arial" w:cs="Arial"/>
        </w:rPr>
      </w:pPr>
      <w:r w:rsidRPr="001A5DA1">
        <w:rPr>
          <w:rFonts w:ascii="Arial" w:hAnsi="Arial" w:cs="Arial"/>
          <w:b/>
        </w:rPr>
        <w:t>Artículo 139.</w:t>
      </w:r>
      <w:r w:rsidRPr="001A5DA1">
        <w:rPr>
          <w:rFonts w:ascii="Arial" w:hAnsi="Arial" w:cs="Arial"/>
        </w:rPr>
        <w:t xml:space="preserve"> Las delegaciones del Instituto serán las directamente responsables de la operación de los servicios institucionales, excepto los encomendados a las Unidades Médicas de Alta Especialidad. Asimismo, establecerán la coordinación necesaria entre sus diferentes áreas, y proporcionarán a las unidades que las conforman los presupuestos y recursos necesarios para que éstas puedan cumplir de manera eficiente con las metas fijadas en los programas de trabajo</w:t>
      </w:r>
      <w:r w:rsidRPr="001A5DA1">
        <w:rPr>
          <w:rFonts w:ascii="Arial" w:hAnsi="Arial" w:cs="Arial"/>
        </w:rPr>
        <w:t>.</w:t>
      </w:r>
    </w:p>
    <w:p w:rsidR="00390A0B" w:rsidRPr="001A5DA1" w:rsidRDefault="00390A0B" w:rsidP="00390A0B">
      <w:pPr>
        <w:jc w:val="both"/>
        <w:rPr>
          <w:rFonts w:ascii="Arial" w:hAnsi="Arial" w:cs="Arial"/>
        </w:rPr>
      </w:pPr>
      <w:r w:rsidRPr="001A5DA1">
        <w:rPr>
          <w:rFonts w:ascii="Arial" w:hAnsi="Arial" w:cs="Arial"/>
          <w:b/>
        </w:rPr>
        <w:t>Artículo 141</w:t>
      </w:r>
      <w:r w:rsidRPr="001A5DA1">
        <w:rPr>
          <w:rFonts w:ascii="Arial" w:hAnsi="Arial" w:cs="Arial"/>
        </w:rPr>
        <w:t>. Las delegaciones regionales comprenderán parte de uno o más estados, las estatales tendrán circunscripción territorial en una sola entidad federativa y las del Distrito Federal comprenderán una parte territorial del mismo.</w:t>
      </w:r>
    </w:p>
    <w:p w:rsidR="00390A0B" w:rsidRPr="001A5DA1" w:rsidRDefault="00390A0B" w:rsidP="00390A0B">
      <w:pPr>
        <w:jc w:val="both"/>
        <w:rPr>
          <w:rFonts w:ascii="Arial" w:hAnsi="Arial" w:cs="Arial"/>
        </w:rPr>
      </w:pPr>
      <w:r w:rsidRPr="001A5DA1">
        <w:rPr>
          <w:rFonts w:ascii="Arial" w:hAnsi="Arial" w:cs="Arial"/>
        </w:rPr>
        <w:t>Artículo 144. Son atribuciones del Delegado dentro de su circunscripción territorial, las siguientes:</w:t>
      </w:r>
    </w:p>
    <w:p w:rsidR="00390A0B" w:rsidRPr="001A5DA1" w:rsidRDefault="00390A0B" w:rsidP="00390A0B">
      <w:pPr>
        <w:ind w:left="708"/>
        <w:jc w:val="both"/>
        <w:rPr>
          <w:rFonts w:ascii="Arial" w:hAnsi="Arial" w:cs="Arial"/>
        </w:rPr>
      </w:pPr>
      <w:r w:rsidRPr="001A5DA1">
        <w:rPr>
          <w:rFonts w:ascii="Arial" w:hAnsi="Arial" w:cs="Arial"/>
        </w:rPr>
        <w:t>I. Representar al Instituto, como organismo fiscal autónomo y al Director General, ante todas las autoridades con la suma de facultades generales y especiales que requiera la Ley, así como con aquéllas que corresponden a los mandatarios generales para pleitos y cobranzas, actos de administración, incluyendo la facultad expresa para conciliar ante las Juntas de Conciliación y Arbitraje y las especiales que requieran cláusula especial conforme al Código Civil Federal, en los términos del poder notarial conferido, pudiendo sustituir total o parcialmente éste en favor del titular de la Jefatura de Servicios Jurídicos y abogados respectivos;</w:t>
      </w:r>
    </w:p>
    <w:p w:rsidR="00390A0B" w:rsidRPr="001A5DA1" w:rsidRDefault="00390A0B" w:rsidP="00390A0B">
      <w:pPr>
        <w:ind w:left="708"/>
        <w:jc w:val="both"/>
        <w:rPr>
          <w:rFonts w:ascii="Arial" w:hAnsi="Arial" w:cs="Arial"/>
        </w:rPr>
      </w:pPr>
      <w:r w:rsidRPr="001A5DA1">
        <w:rPr>
          <w:rFonts w:ascii="Arial" w:hAnsi="Arial" w:cs="Arial"/>
        </w:rPr>
        <w:t>XXII. Establecer coordinación con las dependencias y entidades de la Administración Pública Federal, del Distrito Federal, Estatales y Municipales para el cumplimiento de sus objetivos;</w:t>
      </w:r>
    </w:p>
    <w:p w:rsidR="00390A0B" w:rsidRPr="001A5DA1" w:rsidRDefault="00390A0B" w:rsidP="00390A0B">
      <w:pPr>
        <w:ind w:left="708"/>
        <w:jc w:val="both"/>
        <w:rPr>
          <w:rFonts w:ascii="Arial" w:hAnsi="Arial" w:cs="Arial"/>
        </w:rPr>
      </w:pPr>
      <w:r w:rsidRPr="001A5DA1">
        <w:rPr>
          <w:rFonts w:ascii="Arial" w:hAnsi="Arial" w:cs="Arial"/>
        </w:rPr>
        <w:t>XXXVI. Las demás que le señalen la Ley y sus reglamentos, los acuerdos del Consejo Técnico y el Director General. Las delegaciones para el eficaz desempeño de sus atribuciones, se integrarán con las jefaturas y unidades administrativas que sean autorizadas por la Dirección General o la Dirección de Administración y Evaluación de Delegaciones. Éstas tendrán a su cargo el desempeño de las atribuciones que les señalen los manuales de organización respectivos.</w:t>
      </w:r>
    </w:p>
    <w:p w:rsidR="001A5DA1" w:rsidRDefault="001A5DA1" w:rsidP="00390A0B">
      <w:pPr>
        <w:jc w:val="both"/>
        <w:rPr>
          <w:rFonts w:ascii="Arial" w:hAnsi="Arial" w:cs="Arial"/>
          <w:b/>
        </w:rPr>
      </w:pPr>
    </w:p>
    <w:p w:rsidR="001A5DA1" w:rsidRDefault="001A5DA1" w:rsidP="00390A0B">
      <w:pPr>
        <w:jc w:val="both"/>
        <w:rPr>
          <w:rFonts w:ascii="Arial" w:hAnsi="Arial" w:cs="Arial"/>
          <w:b/>
        </w:rPr>
      </w:pPr>
    </w:p>
    <w:p w:rsidR="001A5DA1" w:rsidRDefault="001A5DA1" w:rsidP="00390A0B">
      <w:pPr>
        <w:jc w:val="both"/>
        <w:rPr>
          <w:rFonts w:ascii="Arial" w:hAnsi="Arial" w:cs="Arial"/>
          <w:b/>
        </w:rPr>
      </w:pPr>
    </w:p>
    <w:p w:rsidR="001A5DA1" w:rsidRDefault="001A5DA1" w:rsidP="00390A0B">
      <w:pPr>
        <w:jc w:val="both"/>
        <w:rPr>
          <w:rFonts w:ascii="Arial" w:hAnsi="Arial" w:cs="Arial"/>
          <w:b/>
        </w:rPr>
      </w:pPr>
    </w:p>
    <w:p w:rsidR="00910A21" w:rsidRPr="001A5DA1" w:rsidRDefault="00910A21" w:rsidP="00390A0B">
      <w:pPr>
        <w:jc w:val="both"/>
        <w:rPr>
          <w:rFonts w:ascii="Arial" w:hAnsi="Arial" w:cs="Arial"/>
        </w:rPr>
      </w:pPr>
      <w:r w:rsidRPr="001A5DA1">
        <w:rPr>
          <w:rFonts w:ascii="Arial" w:hAnsi="Arial" w:cs="Arial"/>
          <w:b/>
        </w:rPr>
        <w:t>Artículo 155</w:t>
      </w:r>
      <w:r w:rsidRPr="001A5DA1">
        <w:rPr>
          <w:rFonts w:ascii="Arial" w:hAnsi="Arial" w:cs="Arial"/>
        </w:rPr>
        <w:t>. Las Delegaciones, Subdelegaciones y Oficinas para Cobros del Instituto ejercerán las facultades que les confieren la Ley, sus reglamentos, y los acuerdos del Consejo Técnico, dentro de la circunscripción territorial siguiente:</w:t>
      </w:r>
    </w:p>
    <w:p w:rsidR="00910A21" w:rsidRPr="001A5DA1" w:rsidRDefault="00910A21" w:rsidP="00390A0B">
      <w:pPr>
        <w:ind w:firstLine="708"/>
        <w:jc w:val="both"/>
        <w:rPr>
          <w:rFonts w:ascii="Arial" w:hAnsi="Arial" w:cs="Arial"/>
        </w:rPr>
      </w:pPr>
      <w:r w:rsidRPr="001A5DA1">
        <w:rPr>
          <w:rFonts w:ascii="Arial" w:hAnsi="Arial" w:cs="Arial"/>
        </w:rPr>
        <w:t>XXXV. Delegación Sur del Distrito Federal.</w:t>
      </w:r>
    </w:p>
    <w:p w:rsidR="00910A21" w:rsidRPr="001A5DA1" w:rsidRDefault="00910A21" w:rsidP="00390A0B">
      <w:pPr>
        <w:jc w:val="both"/>
        <w:rPr>
          <w:rFonts w:ascii="Arial" w:hAnsi="Arial" w:cs="Arial"/>
        </w:rPr>
      </w:pPr>
    </w:p>
    <w:p w:rsidR="00910A21" w:rsidRPr="001A5DA1" w:rsidRDefault="001A5DA1" w:rsidP="00390A0B">
      <w:pPr>
        <w:jc w:val="both"/>
        <w:rPr>
          <w:rFonts w:ascii="Arial" w:hAnsi="Arial" w:cs="Arial"/>
          <w:b/>
          <w:sz w:val="24"/>
          <w:u w:val="single"/>
        </w:rPr>
      </w:pPr>
      <w:r w:rsidRPr="001A5DA1">
        <w:rPr>
          <w:rFonts w:ascii="Arial" w:hAnsi="Arial" w:cs="Arial"/>
          <w:b/>
          <w:sz w:val="24"/>
          <w:highlight w:val="yellow"/>
          <w:u w:val="single"/>
        </w:rPr>
        <w:t>LEY DEL SEGURO SOCIAL (LSS)</w:t>
      </w:r>
    </w:p>
    <w:p w:rsidR="0027255E" w:rsidRPr="001A5DA1" w:rsidRDefault="0027255E" w:rsidP="00390A0B">
      <w:pPr>
        <w:jc w:val="both"/>
        <w:rPr>
          <w:rFonts w:ascii="Arial" w:hAnsi="Arial" w:cs="Arial"/>
        </w:rPr>
      </w:pPr>
      <w:r w:rsidRPr="001A5DA1">
        <w:rPr>
          <w:rFonts w:ascii="Arial" w:hAnsi="Arial" w:cs="Arial"/>
          <w:b/>
        </w:rPr>
        <w:t>Artículo 4.</w:t>
      </w:r>
      <w:r w:rsidRPr="001A5DA1">
        <w:rPr>
          <w:rFonts w:ascii="Arial" w:hAnsi="Arial" w:cs="Arial"/>
        </w:rPr>
        <w:t xml:space="preserve"> El Seguro Social es el instrumento básico de la seguridad social, establecido como un servicio público de carácter nacional en los términos de esta Ley, sin perjuicio de los sistemas instituidos por otros ordenamientos</w:t>
      </w:r>
      <w:r w:rsidRPr="001A5DA1">
        <w:rPr>
          <w:rFonts w:ascii="Arial" w:hAnsi="Arial" w:cs="Arial"/>
        </w:rPr>
        <w:t xml:space="preserve">. </w:t>
      </w:r>
    </w:p>
    <w:p w:rsidR="0027255E" w:rsidRPr="001A5DA1" w:rsidRDefault="0027255E" w:rsidP="00390A0B">
      <w:pPr>
        <w:jc w:val="both"/>
        <w:rPr>
          <w:rFonts w:ascii="Arial" w:hAnsi="Arial" w:cs="Arial"/>
        </w:rPr>
      </w:pPr>
      <w:r w:rsidRPr="001A5DA1">
        <w:rPr>
          <w:rFonts w:ascii="Arial" w:hAnsi="Arial" w:cs="Arial"/>
          <w:b/>
        </w:rPr>
        <w:t>Artículo 5.</w:t>
      </w:r>
      <w:r w:rsidRPr="001A5DA1">
        <w:rPr>
          <w:rFonts w:ascii="Arial" w:hAnsi="Arial" w:cs="Arial"/>
        </w:rPr>
        <w:t xml:space="preserve"> La organización y administración del Seguro Social, en los términos consignados en esta Ley, están a cargo del organismo público descentralizado con personalidad jurídica y patrimonio propios, de integración operativa tripartita, en razón de que a la misma concurren los sectores público, social y privado, denominado Instituto Mexicano del Seguro Social, el cual tiene también el carácter de organismo fiscal autónomo. </w:t>
      </w:r>
      <w:r w:rsidRPr="001A5DA1">
        <w:rPr>
          <w:rFonts w:ascii="Arial" w:hAnsi="Arial" w:cs="Arial"/>
        </w:rPr>
        <w:t xml:space="preserve"> </w:t>
      </w:r>
    </w:p>
    <w:p w:rsidR="0027255E" w:rsidRPr="001A5DA1" w:rsidRDefault="0027255E" w:rsidP="00390A0B">
      <w:pPr>
        <w:jc w:val="both"/>
        <w:rPr>
          <w:rFonts w:ascii="Arial" w:hAnsi="Arial" w:cs="Arial"/>
        </w:rPr>
      </w:pPr>
      <w:r w:rsidRPr="001A5DA1">
        <w:rPr>
          <w:rFonts w:ascii="Arial" w:hAnsi="Arial" w:cs="Arial"/>
          <w:b/>
        </w:rPr>
        <w:t>Artículo 22.</w:t>
      </w:r>
      <w:r w:rsidRPr="001A5DA1">
        <w:rPr>
          <w:rFonts w:ascii="Arial" w:hAnsi="Arial" w:cs="Arial"/>
        </w:rPr>
        <w:t xml:space="preserve"> Los documentos, datos e informes que los trabajadores, patrones y demás personas proporcionen al Instituto, en cumplimiento de las obligaciones que les impone esta Ley, serán estrictamente confidenciales y no podrán comunicarse o darse a conocer en forma nominativa e individual.</w:t>
      </w:r>
    </w:p>
    <w:p w:rsidR="0027255E" w:rsidRPr="001A5DA1" w:rsidRDefault="0027255E" w:rsidP="00390A0B">
      <w:pPr>
        <w:ind w:left="708"/>
        <w:jc w:val="both"/>
        <w:rPr>
          <w:rFonts w:ascii="Arial" w:hAnsi="Arial" w:cs="Arial"/>
        </w:rPr>
      </w:pPr>
      <w:r w:rsidRPr="001A5DA1">
        <w:rPr>
          <w:rFonts w:ascii="Arial" w:hAnsi="Arial" w:cs="Arial"/>
        </w:rPr>
        <w:t>II. Se hubieran celebrado convenios de colaboración con la Federación, entidades federativas o municipios o sus respectivas administraciones públicas, para el intercambio de información relacionada con el cumplimiento de sus objetivos, con las restricciones pactadas en los convenios en los cuales se incluirá invariablemente una cláusula de confidencialidad y no difusión de la información intercambiada;</w:t>
      </w:r>
    </w:p>
    <w:p w:rsidR="0027255E" w:rsidRPr="001A5DA1" w:rsidRDefault="0027255E" w:rsidP="00390A0B">
      <w:pPr>
        <w:jc w:val="both"/>
        <w:rPr>
          <w:rFonts w:ascii="Arial" w:hAnsi="Arial" w:cs="Arial"/>
        </w:rPr>
      </w:pPr>
      <w:r w:rsidRPr="001A5DA1">
        <w:rPr>
          <w:rFonts w:ascii="Arial" w:hAnsi="Arial" w:cs="Arial"/>
        </w:rPr>
        <w:t xml:space="preserve"> </w:t>
      </w:r>
      <w:r w:rsidRPr="001A5DA1">
        <w:rPr>
          <w:rFonts w:ascii="Arial" w:hAnsi="Arial" w:cs="Arial"/>
          <w:b/>
        </w:rPr>
        <w:t>Artículo 251.</w:t>
      </w:r>
      <w:r w:rsidRPr="001A5DA1">
        <w:rPr>
          <w:rFonts w:ascii="Arial" w:hAnsi="Arial" w:cs="Arial"/>
        </w:rPr>
        <w:t xml:space="preserve"> El Instituto Mexicano del Seguro Social tiene las facultades y atribuciones siguientes:</w:t>
      </w:r>
    </w:p>
    <w:p w:rsidR="0027255E" w:rsidRPr="001A5DA1" w:rsidRDefault="0027255E" w:rsidP="00390A0B">
      <w:pPr>
        <w:ind w:left="708"/>
        <w:jc w:val="both"/>
        <w:rPr>
          <w:rFonts w:ascii="Arial" w:hAnsi="Arial" w:cs="Arial"/>
        </w:rPr>
      </w:pPr>
      <w:r w:rsidRPr="001A5DA1">
        <w:rPr>
          <w:rFonts w:ascii="Arial" w:hAnsi="Arial" w:cs="Arial"/>
        </w:rPr>
        <w:t>IV. En general, realizar toda clase de actos jurídicos necesarios para cumplir con sus fines, así como aquéllos que fueren necesarios para la administración de las finanzas institucionales;</w:t>
      </w:r>
    </w:p>
    <w:p w:rsidR="0027255E" w:rsidRPr="001A5DA1" w:rsidRDefault="0027255E" w:rsidP="00390A0B">
      <w:pPr>
        <w:ind w:left="708"/>
        <w:jc w:val="both"/>
        <w:rPr>
          <w:rFonts w:ascii="Arial" w:hAnsi="Arial" w:cs="Arial"/>
        </w:rPr>
      </w:pPr>
      <w:r w:rsidRPr="001A5DA1">
        <w:rPr>
          <w:rFonts w:ascii="Arial" w:hAnsi="Arial" w:cs="Arial"/>
        </w:rPr>
        <w:t>XX. Establecer coordinación con las dependencias y entidades de las Administraciones Públicas Federal, Estatales y Municipales, para el cumplimiento de sus objetivos;</w:t>
      </w:r>
    </w:p>
    <w:p w:rsidR="0027255E" w:rsidRPr="001A5DA1" w:rsidRDefault="0027255E" w:rsidP="00390A0B">
      <w:pPr>
        <w:ind w:left="708"/>
        <w:jc w:val="both"/>
        <w:rPr>
          <w:rFonts w:ascii="Arial" w:hAnsi="Arial" w:cs="Arial"/>
        </w:rPr>
      </w:pPr>
      <w:r w:rsidRPr="001A5DA1">
        <w:rPr>
          <w:rFonts w:ascii="Arial" w:hAnsi="Arial" w:cs="Arial"/>
        </w:rPr>
        <w:t xml:space="preserve"> XXIII. Celebrar convenios de coordinación con la Federación, entidades federativas, municipios y sus respectivas administraciones públicas, así como de colaboración con el sector social y privado, para el intercambio de información relacionada con el cumplimiento de sus objetivos, en los términos previstos en esta Ley;</w:t>
      </w:r>
    </w:p>
    <w:p w:rsidR="0027255E" w:rsidRPr="001A5DA1" w:rsidRDefault="0027255E" w:rsidP="00390A0B">
      <w:pPr>
        <w:ind w:left="708" w:firstLine="42"/>
        <w:jc w:val="both"/>
        <w:rPr>
          <w:rFonts w:ascii="Arial" w:hAnsi="Arial" w:cs="Arial"/>
        </w:rPr>
      </w:pPr>
      <w:r w:rsidRPr="001A5DA1">
        <w:rPr>
          <w:rFonts w:ascii="Arial" w:hAnsi="Arial" w:cs="Arial"/>
        </w:rPr>
        <w:t>XXXVII.</w:t>
      </w:r>
      <w:r w:rsidRPr="001A5DA1">
        <w:rPr>
          <w:rFonts w:ascii="Arial" w:hAnsi="Arial" w:cs="Arial"/>
        </w:rPr>
        <w:t xml:space="preserve"> </w:t>
      </w:r>
      <w:r w:rsidRPr="001A5DA1">
        <w:rPr>
          <w:rFonts w:ascii="Arial" w:hAnsi="Arial" w:cs="Arial"/>
        </w:rPr>
        <w:t xml:space="preserve">Las demás que le otorguen esta Ley, sus reglamentos y </w:t>
      </w:r>
      <w:proofErr w:type="gramStart"/>
      <w:r w:rsidRPr="001A5DA1">
        <w:rPr>
          <w:rFonts w:ascii="Arial" w:hAnsi="Arial" w:cs="Arial"/>
        </w:rPr>
        <w:t>cualesquiera</w:t>
      </w:r>
      <w:proofErr w:type="gramEnd"/>
      <w:r w:rsidRPr="001A5DA1">
        <w:rPr>
          <w:rFonts w:ascii="Arial" w:hAnsi="Arial" w:cs="Arial"/>
        </w:rPr>
        <w:t xml:space="preserve"> otra disposición aplicable.</w:t>
      </w:r>
    </w:p>
    <w:p w:rsidR="001A5DA1" w:rsidRDefault="001A5DA1" w:rsidP="00390A0B">
      <w:pPr>
        <w:jc w:val="both"/>
        <w:rPr>
          <w:rFonts w:ascii="Arial" w:hAnsi="Arial" w:cs="Arial"/>
          <w:b/>
        </w:rPr>
      </w:pPr>
    </w:p>
    <w:p w:rsidR="001A5DA1" w:rsidRDefault="001A5DA1" w:rsidP="00390A0B">
      <w:pPr>
        <w:jc w:val="both"/>
        <w:rPr>
          <w:rFonts w:ascii="Arial" w:hAnsi="Arial" w:cs="Arial"/>
          <w:b/>
        </w:rPr>
      </w:pPr>
    </w:p>
    <w:p w:rsidR="001A5DA1" w:rsidRDefault="001A5DA1" w:rsidP="00390A0B">
      <w:pPr>
        <w:jc w:val="both"/>
        <w:rPr>
          <w:rFonts w:ascii="Arial" w:hAnsi="Arial" w:cs="Arial"/>
          <w:b/>
        </w:rPr>
      </w:pPr>
    </w:p>
    <w:p w:rsidR="0027255E" w:rsidRPr="001A5DA1" w:rsidRDefault="0027255E" w:rsidP="00390A0B">
      <w:pPr>
        <w:jc w:val="both"/>
        <w:rPr>
          <w:rFonts w:ascii="Arial" w:hAnsi="Arial" w:cs="Arial"/>
        </w:rPr>
      </w:pPr>
      <w:r w:rsidRPr="001A5DA1">
        <w:rPr>
          <w:rFonts w:ascii="Arial" w:hAnsi="Arial" w:cs="Arial"/>
          <w:b/>
        </w:rPr>
        <w:t>Artículo 251 A</w:t>
      </w:r>
      <w:r w:rsidRPr="001A5DA1">
        <w:rPr>
          <w:rFonts w:ascii="Arial" w:hAnsi="Arial" w:cs="Arial"/>
        </w:rPr>
        <w:t>. El Instituto, a fin de lograr una mayor eficiencia en la administración del Seguro Social y en el despacho de los asuntos de su competencia, contará con órganos de operación administrativa desconcentrada, así como con órganos colegiados integrados de manera tripartita por representantes del sector obrero, patronal y gubernamental, cuyas facultades, dependencia y ámbito territorial se determinarán en el Reglamento Interior del Instituto.</w:t>
      </w:r>
    </w:p>
    <w:p w:rsidR="0027255E" w:rsidRPr="001A5DA1" w:rsidRDefault="0027255E" w:rsidP="00390A0B">
      <w:pPr>
        <w:jc w:val="both"/>
        <w:rPr>
          <w:rFonts w:ascii="Arial" w:hAnsi="Arial" w:cs="Arial"/>
        </w:rPr>
      </w:pPr>
      <w:r w:rsidRPr="001A5DA1">
        <w:rPr>
          <w:rFonts w:ascii="Arial" w:hAnsi="Arial" w:cs="Arial"/>
          <w:b/>
        </w:rPr>
        <w:t>Artículo 252.</w:t>
      </w:r>
      <w:r w:rsidRPr="001A5DA1">
        <w:rPr>
          <w:rFonts w:ascii="Arial" w:hAnsi="Arial" w:cs="Arial"/>
        </w:rPr>
        <w:t xml:space="preserve"> Las autoridades federales y locales deberán prestar el auxilio que el Instituto solicite para el mejor cumplimiento de sus funciones. El Instituto tendrá acceso a toda clase de material estadístico, censal y fiscal y, en general, a obtener de las oficinas públicas cualquier dato o informe que se considere necesario, de no existir prohibición legal</w:t>
      </w:r>
      <w:r w:rsidRPr="001A5DA1">
        <w:rPr>
          <w:rFonts w:ascii="Arial" w:hAnsi="Arial" w:cs="Arial"/>
        </w:rPr>
        <w:t>.</w:t>
      </w:r>
    </w:p>
    <w:p w:rsidR="00390A0B" w:rsidRPr="001A5DA1" w:rsidRDefault="00390A0B" w:rsidP="00390A0B">
      <w:pPr>
        <w:jc w:val="both"/>
        <w:rPr>
          <w:rFonts w:ascii="Arial" w:hAnsi="Arial" w:cs="Arial"/>
        </w:rPr>
      </w:pPr>
      <w:r w:rsidRPr="001A5DA1">
        <w:rPr>
          <w:rFonts w:ascii="Arial" w:hAnsi="Arial" w:cs="Arial"/>
          <w:b/>
        </w:rPr>
        <w:t>Artículo 270.</w:t>
      </w:r>
      <w:r w:rsidRPr="001A5DA1">
        <w:rPr>
          <w:rFonts w:ascii="Arial" w:hAnsi="Arial" w:cs="Arial"/>
        </w:rPr>
        <w:t xml:space="preserve"> El Instituto, en su carácter de organismo fiscal autónomo, se sujetará al régimen establecido en esta Ley, ejerciendo las atribuciones que la misma le confiere de manera ejecutiva, con autonomía de gestión y técnica, en los ámbitos regulados en la presente Ley. Artículo reformado DOF 20-12-2001 </w:t>
      </w:r>
    </w:p>
    <w:p w:rsidR="0027255E" w:rsidRPr="001A5DA1" w:rsidRDefault="00390A0B" w:rsidP="00390A0B">
      <w:pPr>
        <w:jc w:val="both"/>
        <w:rPr>
          <w:rFonts w:ascii="Arial" w:hAnsi="Arial" w:cs="Arial"/>
        </w:rPr>
      </w:pPr>
      <w:r w:rsidRPr="001A5DA1">
        <w:rPr>
          <w:rFonts w:ascii="Arial" w:hAnsi="Arial" w:cs="Arial"/>
          <w:b/>
        </w:rPr>
        <w:t>Artículo 271.</w:t>
      </w:r>
      <w:r w:rsidRPr="001A5DA1">
        <w:rPr>
          <w:rFonts w:ascii="Arial" w:hAnsi="Arial" w:cs="Arial"/>
        </w:rPr>
        <w:t xml:space="preserve"> En materia de recaudación y administración de las contribuciones que conforme a esta Ley le corresponden, que de conformidad con lo dispuesto por el artículo 2o., fracción II y penúltimo párrafo, del Código, tienen la naturaleza de aportaciones de seguridad social, el Instituto recaudará, administrará y, en su caso, determinará y liquidará, las cuotas correspondientes a los seguros establecidos en esta Ley, aplicando al efecto lo dispuesto en la misma y en lo no previsto expresamente en ella, el Código, contando respecto de ambas disposiciones con todas las facultades que ese Código confiere a las autoridades fiscales en él previstas, las que serán ejercidas de manera ejecutiva por el Instituto, sin la participación de ninguna otra autoridad fiscal.</w:t>
      </w:r>
    </w:p>
    <w:p w:rsidR="00AB4B68" w:rsidRPr="001A5DA1" w:rsidRDefault="00AB4B68" w:rsidP="007850EB">
      <w:pPr>
        <w:jc w:val="both"/>
        <w:rPr>
          <w:rFonts w:ascii="Arial" w:hAnsi="Arial" w:cs="Arial"/>
          <w:b/>
          <w:u w:val="single"/>
        </w:rPr>
      </w:pPr>
    </w:p>
    <w:p w:rsidR="007850EB" w:rsidRPr="001A5DA1" w:rsidRDefault="001A5DA1" w:rsidP="007850EB">
      <w:pPr>
        <w:jc w:val="both"/>
        <w:rPr>
          <w:rFonts w:ascii="Arial" w:hAnsi="Arial" w:cs="Arial"/>
          <w:b/>
          <w:sz w:val="24"/>
          <w:u w:val="single"/>
        </w:rPr>
      </w:pPr>
      <w:r w:rsidRPr="001A5DA1">
        <w:rPr>
          <w:rFonts w:ascii="Arial" w:hAnsi="Arial" w:cs="Arial"/>
          <w:b/>
          <w:sz w:val="24"/>
          <w:highlight w:val="yellow"/>
          <w:u w:val="single"/>
        </w:rPr>
        <w:t>LEY FEDERAL DE LAS ENTIDADES PARAESTATALES</w:t>
      </w:r>
      <w:r w:rsidRPr="001A5DA1">
        <w:rPr>
          <w:rFonts w:ascii="Arial" w:hAnsi="Arial" w:cs="Arial"/>
          <w:b/>
          <w:sz w:val="24"/>
          <w:u w:val="single"/>
        </w:rPr>
        <w:t xml:space="preserve"> </w:t>
      </w:r>
    </w:p>
    <w:p w:rsidR="007850EB" w:rsidRPr="001A5DA1" w:rsidRDefault="007850EB" w:rsidP="00390A0B">
      <w:pPr>
        <w:jc w:val="both"/>
        <w:rPr>
          <w:rFonts w:ascii="Arial" w:hAnsi="Arial" w:cs="Arial"/>
        </w:rPr>
      </w:pPr>
      <w:r w:rsidRPr="001A5DA1">
        <w:rPr>
          <w:rFonts w:ascii="Arial" w:hAnsi="Arial" w:cs="Arial"/>
          <w:b/>
        </w:rPr>
        <w:t>Artículo 24.</w:t>
      </w:r>
      <w:r w:rsidRPr="001A5DA1">
        <w:rPr>
          <w:rFonts w:ascii="Arial" w:hAnsi="Arial" w:cs="Arial"/>
        </w:rPr>
        <w:t xml:space="preserve"> Los organismos descentralizados deberán inscribirse en el Registro Público respectivo que llevará la Secretaría de Hacienda y Crédito Público. Párrafo reformado DOF 24-07-1992 Las personas titulares de las direcciones generales o quienes realicen funciones similares en los organismos descentralizados, que no solicitaren la inscripción aludida dentro de los treinta días siguientes a la fecha de su constitución o de sus modificaciones o reformas, serán responsables en los términos de la Ley Federal de Responsabilidades de los Servidores Públicos. Párrafo reformado DOF 01-03-2019 </w:t>
      </w:r>
    </w:p>
    <w:p w:rsidR="007850EB" w:rsidRPr="001A5DA1" w:rsidRDefault="007850EB" w:rsidP="00390A0B">
      <w:pPr>
        <w:jc w:val="both"/>
        <w:rPr>
          <w:rFonts w:ascii="Arial" w:hAnsi="Arial" w:cs="Arial"/>
        </w:rPr>
      </w:pPr>
      <w:r w:rsidRPr="001A5DA1">
        <w:rPr>
          <w:rFonts w:ascii="Arial" w:hAnsi="Arial" w:cs="Arial"/>
          <w:b/>
        </w:rPr>
        <w:t>Artículo 25.</w:t>
      </w:r>
      <w:r w:rsidRPr="001A5DA1">
        <w:rPr>
          <w:rFonts w:ascii="Arial" w:hAnsi="Arial" w:cs="Arial"/>
        </w:rPr>
        <w:t xml:space="preserve"> En el Registro Público de Organismos Descentralizados deberán inscribirse: </w:t>
      </w:r>
      <w:r w:rsidRPr="001A5DA1">
        <w:rPr>
          <w:rFonts w:ascii="Arial" w:hAnsi="Arial" w:cs="Arial"/>
        </w:rPr>
        <w:tab/>
      </w:r>
    </w:p>
    <w:p w:rsidR="007850EB" w:rsidRPr="001A5DA1" w:rsidRDefault="007850EB" w:rsidP="007850EB">
      <w:pPr>
        <w:ind w:firstLine="708"/>
        <w:jc w:val="both"/>
        <w:rPr>
          <w:rFonts w:ascii="Arial" w:hAnsi="Arial" w:cs="Arial"/>
        </w:rPr>
      </w:pPr>
      <w:r w:rsidRPr="001A5DA1">
        <w:rPr>
          <w:rFonts w:ascii="Arial" w:hAnsi="Arial" w:cs="Arial"/>
        </w:rPr>
        <w:t xml:space="preserve">I. El Estatuto Orgánico y sus reformas o modificaciones; </w:t>
      </w:r>
      <w:r w:rsidRPr="001A5DA1">
        <w:rPr>
          <w:rFonts w:ascii="Arial" w:hAnsi="Arial" w:cs="Arial"/>
        </w:rPr>
        <w:tab/>
      </w:r>
    </w:p>
    <w:p w:rsidR="007850EB" w:rsidRDefault="007850EB" w:rsidP="007850EB">
      <w:pPr>
        <w:ind w:left="708"/>
        <w:jc w:val="both"/>
        <w:rPr>
          <w:rFonts w:ascii="Arial" w:hAnsi="Arial" w:cs="Arial"/>
        </w:rPr>
      </w:pPr>
      <w:r w:rsidRPr="001A5DA1">
        <w:rPr>
          <w:rFonts w:ascii="Arial" w:hAnsi="Arial" w:cs="Arial"/>
        </w:rPr>
        <w:t xml:space="preserve">II. Los nombramientos de quienes integren el Órgano de Gobierno, así como sus remociones; </w:t>
      </w:r>
    </w:p>
    <w:p w:rsidR="001A5DA1" w:rsidRPr="001A5DA1" w:rsidRDefault="001A5DA1" w:rsidP="007850EB">
      <w:pPr>
        <w:ind w:left="708"/>
        <w:jc w:val="both"/>
        <w:rPr>
          <w:rFonts w:ascii="Arial" w:hAnsi="Arial" w:cs="Arial"/>
        </w:rPr>
      </w:pPr>
    </w:p>
    <w:p w:rsidR="007850EB" w:rsidRPr="001A5DA1" w:rsidRDefault="007850EB" w:rsidP="007850EB">
      <w:pPr>
        <w:ind w:left="708"/>
        <w:jc w:val="both"/>
        <w:rPr>
          <w:rFonts w:ascii="Arial" w:hAnsi="Arial" w:cs="Arial"/>
        </w:rPr>
      </w:pPr>
      <w:r w:rsidRPr="001A5DA1">
        <w:rPr>
          <w:rFonts w:ascii="Arial" w:hAnsi="Arial" w:cs="Arial"/>
        </w:rPr>
        <w:t>III. Los nombramientos y sustituciones de la Directora o Director General y en su caso de las Subdirectoras y los Subdirectores y otras funcionarias o funcionarios que lleven la firma de la entidad;</w:t>
      </w:r>
      <w:r w:rsidRPr="001A5DA1">
        <w:rPr>
          <w:rFonts w:ascii="Arial" w:hAnsi="Arial" w:cs="Arial"/>
        </w:rPr>
        <w:tab/>
      </w:r>
      <w:r w:rsidRPr="001A5DA1">
        <w:rPr>
          <w:rFonts w:ascii="Arial" w:hAnsi="Arial" w:cs="Arial"/>
        </w:rPr>
        <w:t xml:space="preserve"> </w:t>
      </w:r>
    </w:p>
    <w:p w:rsidR="007850EB" w:rsidRPr="001A5DA1" w:rsidRDefault="007850EB" w:rsidP="007850EB">
      <w:pPr>
        <w:ind w:left="708"/>
        <w:jc w:val="both"/>
        <w:rPr>
          <w:rFonts w:ascii="Arial" w:hAnsi="Arial" w:cs="Arial"/>
        </w:rPr>
      </w:pPr>
      <w:r w:rsidRPr="001A5DA1">
        <w:rPr>
          <w:rFonts w:ascii="Arial" w:hAnsi="Arial" w:cs="Arial"/>
        </w:rPr>
        <w:t xml:space="preserve">IV. Los poderes generales y sus revocaciones; </w:t>
      </w:r>
    </w:p>
    <w:p w:rsidR="00AB4B68" w:rsidRPr="001A5DA1" w:rsidRDefault="007850EB" w:rsidP="007850EB">
      <w:pPr>
        <w:ind w:left="708"/>
        <w:jc w:val="both"/>
        <w:rPr>
          <w:rFonts w:ascii="Arial" w:hAnsi="Arial" w:cs="Arial"/>
        </w:rPr>
      </w:pPr>
      <w:r w:rsidRPr="001A5DA1">
        <w:rPr>
          <w:rFonts w:ascii="Arial" w:hAnsi="Arial" w:cs="Arial"/>
        </w:rPr>
        <w:t xml:space="preserve"> V.- El acuerdo de la Secretaría de Hacienda y Crédito Público o de la dependencia coordinadora del sector en su caso que señale las bases de la fusión, extinción o liquidación, de conformidad con las leyes o decretos que ordenen las mismas;</w:t>
      </w:r>
    </w:p>
    <w:p w:rsidR="00AB4B68" w:rsidRPr="001A5DA1" w:rsidRDefault="007850EB" w:rsidP="007850EB">
      <w:pPr>
        <w:ind w:left="708"/>
        <w:jc w:val="both"/>
        <w:rPr>
          <w:rFonts w:ascii="Arial" w:hAnsi="Arial" w:cs="Arial"/>
        </w:rPr>
      </w:pPr>
      <w:r w:rsidRPr="001A5DA1">
        <w:rPr>
          <w:rFonts w:ascii="Arial" w:hAnsi="Arial" w:cs="Arial"/>
        </w:rPr>
        <w:t xml:space="preserve">VI. Los demás documentos o actos que determine el reglamento de este ordenamiento. </w:t>
      </w:r>
    </w:p>
    <w:p w:rsidR="00AB4B68" w:rsidRDefault="007850EB" w:rsidP="001A5DA1">
      <w:pPr>
        <w:ind w:left="708"/>
        <w:jc w:val="both"/>
        <w:rPr>
          <w:rFonts w:ascii="Arial" w:hAnsi="Arial" w:cs="Arial"/>
        </w:rPr>
      </w:pPr>
      <w:r w:rsidRPr="001A5DA1">
        <w:rPr>
          <w:rFonts w:ascii="Arial" w:hAnsi="Arial" w:cs="Arial"/>
        </w:rPr>
        <w:t>El reglamento de esta Ley determinará la constitución y funcionamiento del Registro, así como las formalidades de las inscripciones y sus anotaciones.</w:t>
      </w:r>
    </w:p>
    <w:p w:rsidR="001A5DA1" w:rsidRPr="001A5DA1" w:rsidRDefault="001A5DA1" w:rsidP="001A5DA1">
      <w:pPr>
        <w:ind w:left="708"/>
        <w:jc w:val="both"/>
        <w:rPr>
          <w:rFonts w:ascii="Arial" w:hAnsi="Arial" w:cs="Arial"/>
        </w:rPr>
      </w:pPr>
    </w:p>
    <w:p w:rsidR="00AB4B68" w:rsidRPr="001A5DA1" w:rsidRDefault="001A5DA1" w:rsidP="00AB4B68">
      <w:pPr>
        <w:jc w:val="both"/>
        <w:rPr>
          <w:rFonts w:ascii="Arial" w:hAnsi="Arial" w:cs="Arial"/>
          <w:b/>
        </w:rPr>
      </w:pPr>
      <w:r w:rsidRPr="001A5DA1">
        <w:rPr>
          <w:rFonts w:ascii="Arial" w:hAnsi="Arial" w:cs="Arial"/>
          <w:b/>
          <w:highlight w:val="yellow"/>
        </w:rPr>
        <w:t>REGLAMENTO DE LA LEY FEDERAL DE ENTIDADES PARAESTATALES</w:t>
      </w:r>
      <w:r w:rsidRPr="001A5DA1">
        <w:rPr>
          <w:rFonts w:ascii="Arial" w:hAnsi="Arial" w:cs="Arial"/>
          <w:b/>
        </w:rPr>
        <w:t xml:space="preserve"> </w:t>
      </w:r>
    </w:p>
    <w:p w:rsidR="00AB4B68" w:rsidRPr="001A5DA1" w:rsidRDefault="00AB4B68" w:rsidP="00AB4B68">
      <w:pPr>
        <w:jc w:val="both"/>
        <w:rPr>
          <w:rFonts w:ascii="Arial" w:hAnsi="Arial" w:cs="Arial"/>
        </w:rPr>
      </w:pPr>
      <w:r w:rsidRPr="001A5DA1">
        <w:rPr>
          <w:rFonts w:ascii="Arial" w:hAnsi="Arial" w:cs="Arial"/>
          <w:b/>
        </w:rPr>
        <w:t>A</w:t>
      </w:r>
      <w:r w:rsidRPr="001A5DA1">
        <w:rPr>
          <w:rFonts w:ascii="Arial" w:hAnsi="Arial" w:cs="Arial"/>
          <w:b/>
        </w:rPr>
        <w:t>rtículo 40.</w:t>
      </w:r>
      <w:r w:rsidRPr="001A5DA1">
        <w:rPr>
          <w:rFonts w:ascii="Arial" w:hAnsi="Arial" w:cs="Arial"/>
        </w:rPr>
        <w:t xml:space="preserve"> Las inscripciones en el Registro se realizarán de la siguiente manera: </w:t>
      </w:r>
    </w:p>
    <w:p w:rsidR="00AB4B68" w:rsidRPr="001A5DA1" w:rsidRDefault="00AB4B68" w:rsidP="00AB4B68">
      <w:pPr>
        <w:ind w:left="708"/>
        <w:jc w:val="both"/>
        <w:rPr>
          <w:rFonts w:ascii="Arial" w:hAnsi="Arial" w:cs="Arial"/>
        </w:rPr>
      </w:pPr>
      <w:r w:rsidRPr="001A5DA1">
        <w:rPr>
          <w:rFonts w:ascii="Arial" w:hAnsi="Arial" w:cs="Arial"/>
        </w:rPr>
        <w:t xml:space="preserve">I. Los organismos descentralizados al realizar las solicitudes de inscripción, deberán adjuntar los documentos e información relacionados con su solicitud en el sistema electrónico, utilizando el certificado digital y la clave de acceso correspondiente; </w:t>
      </w:r>
    </w:p>
    <w:p w:rsidR="00AB4B68" w:rsidRPr="001A5DA1" w:rsidRDefault="00AB4B68" w:rsidP="00AB4B68">
      <w:pPr>
        <w:ind w:left="708"/>
        <w:jc w:val="both"/>
        <w:rPr>
          <w:rFonts w:ascii="Arial" w:hAnsi="Arial" w:cs="Arial"/>
        </w:rPr>
      </w:pPr>
      <w:r w:rsidRPr="001A5DA1">
        <w:rPr>
          <w:rFonts w:ascii="Arial" w:hAnsi="Arial" w:cs="Arial"/>
        </w:rPr>
        <w:t>II. El Registro emitirá un acuse de recibo de las solicitudes realizadas, y</w:t>
      </w:r>
    </w:p>
    <w:p w:rsidR="00AB4B68" w:rsidRPr="001A5DA1" w:rsidRDefault="00AB4B68" w:rsidP="00AB4B68">
      <w:pPr>
        <w:ind w:left="708"/>
        <w:jc w:val="both"/>
        <w:rPr>
          <w:rFonts w:ascii="Arial" w:hAnsi="Arial" w:cs="Arial"/>
        </w:rPr>
      </w:pPr>
      <w:r w:rsidRPr="001A5DA1">
        <w:rPr>
          <w:rFonts w:ascii="Arial" w:hAnsi="Arial" w:cs="Arial"/>
        </w:rPr>
        <w:t xml:space="preserve"> III. En caso de que la inscripción sea procedente, se emitirá la confirmación respectiva; en caso contrario, la solicitud será desechada y se le dará el aviso correspondiente al organismo descentralizado. </w:t>
      </w:r>
    </w:p>
    <w:p w:rsidR="00AB4B68" w:rsidRPr="001A5DA1" w:rsidRDefault="00AB4B68" w:rsidP="00AB4B68">
      <w:pPr>
        <w:jc w:val="both"/>
        <w:rPr>
          <w:rFonts w:ascii="Arial" w:hAnsi="Arial" w:cs="Arial"/>
        </w:rPr>
      </w:pPr>
      <w:r w:rsidRPr="001A5DA1">
        <w:rPr>
          <w:rFonts w:ascii="Arial" w:hAnsi="Arial" w:cs="Arial"/>
          <w:b/>
        </w:rPr>
        <w:t>Artículo 41.</w:t>
      </w:r>
      <w:r w:rsidRPr="001A5DA1">
        <w:rPr>
          <w:rFonts w:ascii="Arial" w:hAnsi="Arial" w:cs="Arial"/>
        </w:rPr>
        <w:t xml:space="preserve"> Habrá un folio por cada organismo descentralizado. El folio será la constancia de inscripción del organismo en el Registro, la cual surtirá efectos legales desde la fecha en que se expida</w:t>
      </w:r>
    </w:p>
    <w:p w:rsidR="00AB4B68" w:rsidRPr="001A5DA1" w:rsidRDefault="00AB4B68" w:rsidP="00390A0B">
      <w:pPr>
        <w:jc w:val="both"/>
        <w:rPr>
          <w:rFonts w:ascii="Arial" w:hAnsi="Arial" w:cs="Arial"/>
        </w:rPr>
      </w:pPr>
      <w:r w:rsidRPr="001A5DA1">
        <w:rPr>
          <w:rFonts w:ascii="Arial" w:hAnsi="Arial" w:cs="Arial"/>
          <w:b/>
        </w:rPr>
        <w:t>Artículo 45.</w:t>
      </w:r>
      <w:r w:rsidRPr="001A5DA1">
        <w:rPr>
          <w:rFonts w:ascii="Arial" w:hAnsi="Arial" w:cs="Arial"/>
        </w:rPr>
        <w:t xml:space="preserve"> Las inscripciones en el Registro sólo podrán ser modificadas por la Secretaría de Hacienda y Crédito Público, por conducto de su unidad jurídica. Artículo adicionado DOF 23-11-2010 </w:t>
      </w:r>
    </w:p>
    <w:p w:rsidR="0027255E" w:rsidRPr="001A5DA1" w:rsidRDefault="00AB4B68" w:rsidP="00390A0B">
      <w:pPr>
        <w:jc w:val="both"/>
        <w:rPr>
          <w:rFonts w:ascii="Arial" w:hAnsi="Arial" w:cs="Arial"/>
        </w:rPr>
      </w:pPr>
      <w:r w:rsidRPr="001A5DA1">
        <w:rPr>
          <w:rFonts w:ascii="Arial" w:hAnsi="Arial" w:cs="Arial"/>
          <w:b/>
        </w:rPr>
        <w:t>Artículo 46.</w:t>
      </w:r>
      <w:r w:rsidRPr="001A5DA1">
        <w:rPr>
          <w:rFonts w:ascii="Arial" w:hAnsi="Arial" w:cs="Arial"/>
        </w:rPr>
        <w:t xml:space="preserve"> La unidad jurídica de la Secretaría de Hacienda y Crédito Público podrá emitir lineamientos específicos para la regulación, operación y conducción del Registro, así como para el debido registro de las inscripciones que se tramiten ante el mismo. Asimismo, en dichos lineamientos se habilitará a los servidores públicos de la misma, para el uso de firma electrónica.</w:t>
      </w:r>
    </w:p>
    <w:p w:rsidR="00AB4B68" w:rsidRDefault="00AB4B68" w:rsidP="00390A0B">
      <w:pPr>
        <w:jc w:val="both"/>
        <w:rPr>
          <w:rFonts w:ascii="Arial" w:hAnsi="Arial" w:cs="Arial"/>
        </w:rPr>
      </w:pPr>
    </w:p>
    <w:p w:rsidR="001A5DA1" w:rsidRDefault="001A5DA1" w:rsidP="00390A0B">
      <w:pPr>
        <w:jc w:val="both"/>
        <w:rPr>
          <w:rFonts w:ascii="Arial" w:hAnsi="Arial" w:cs="Arial"/>
        </w:rPr>
      </w:pPr>
    </w:p>
    <w:p w:rsidR="001A5DA1" w:rsidRDefault="001A5DA1" w:rsidP="00390A0B">
      <w:pPr>
        <w:jc w:val="both"/>
        <w:rPr>
          <w:rFonts w:ascii="Arial" w:hAnsi="Arial" w:cs="Arial"/>
        </w:rPr>
      </w:pPr>
    </w:p>
    <w:p w:rsidR="001A5DA1" w:rsidRDefault="001A5DA1" w:rsidP="00390A0B">
      <w:pPr>
        <w:jc w:val="both"/>
        <w:rPr>
          <w:rFonts w:ascii="Arial" w:hAnsi="Arial" w:cs="Arial"/>
        </w:rPr>
      </w:pPr>
    </w:p>
    <w:p w:rsidR="001A5DA1" w:rsidRDefault="001A5DA1" w:rsidP="00390A0B">
      <w:pPr>
        <w:jc w:val="both"/>
        <w:rPr>
          <w:rFonts w:ascii="Arial" w:hAnsi="Arial" w:cs="Arial"/>
        </w:rPr>
      </w:pPr>
    </w:p>
    <w:p w:rsidR="001A5DA1" w:rsidRDefault="001A5DA1" w:rsidP="00390A0B">
      <w:pPr>
        <w:jc w:val="both"/>
        <w:rPr>
          <w:rFonts w:ascii="Arial" w:hAnsi="Arial" w:cs="Arial"/>
        </w:rPr>
      </w:pPr>
    </w:p>
    <w:p w:rsidR="001A5DA1" w:rsidRPr="001A5DA1" w:rsidRDefault="001A5DA1" w:rsidP="00390A0B">
      <w:pPr>
        <w:jc w:val="both"/>
        <w:rPr>
          <w:rFonts w:ascii="Arial" w:hAnsi="Arial" w:cs="Arial"/>
        </w:rPr>
      </w:pPr>
    </w:p>
    <w:p w:rsidR="00AB4B68" w:rsidRPr="001A5DA1" w:rsidRDefault="00AB4B68" w:rsidP="00390A0B">
      <w:pPr>
        <w:jc w:val="both"/>
        <w:rPr>
          <w:rFonts w:ascii="Arial" w:hAnsi="Arial" w:cs="Arial"/>
          <w:b/>
          <w:sz w:val="24"/>
          <w:u w:val="single"/>
        </w:rPr>
      </w:pPr>
      <w:r w:rsidRPr="001A5DA1">
        <w:rPr>
          <w:rFonts w:ascii="Arial" w:hAnsi="Arial" w:cs="Arial"/>
          <w:b/>
          <w:sz w:val="24"/>
          <w:highlight w:val="yellow"/>
          <w:u w:val="single"/>
        </w:rPr>
        <w:t>CONSTITUCIÓN POLÍTICA DE LOS ESTADOS UNIDOS MEXICANOS</w:t>
      </w:r>
    </w:p>
    <w:p w:rsidR="00AB4B68" w:rsidRPr="001A5DA1" w:rsidRDefault="00AB4B68" w:rsidP="00390A0B">
      <w:pPr>
        <w:jc w:val="both"/>
        <w:rPr>
          <w:rFonts w:ascii="Arial" w:hAnsi="Arial" w:cs="Arial"/>
        </w:rPr>
      </w:pPr>
      <w:r w:rsidRPr="001A5DA1">
        <w:rPr>
          <w:rFonts w:ascii="Arial" w:hAnsi="Arial" w:cs="Arial"/>
          <w:b/>
        </w:rPr>
        <w:t>Artículo 122.</w:t>
      </w:r>
      <w:r w:rsidRPr="001A5DA1">
        <w:rPr>
          <w:rFonts w:ascii="Arial" w:hAnsi="Arial" w:cs="Arial"/>
        </w:rPr>
        <w:t xml:space="preserve"> La Ciudad de México es una entidad federativa que goza de autonomía en todo lo concerniente a su régimen interior y a su organización política y administrativa.</w:t>
      </w:r>
    </w:p>
    <w:p w:rsidR="00E64EFE" w:rsidRPr="001A5DA1" w:rsidRDefault="00AB4B68" w:rsidP="00AB4B68">
      <w:pPr>
        <w:ind w:left="708"/>
        <w:jc w:val="both"/>
        <w:rPr>
          <w:rFonts w:ascii="Arial" w:hAnsi="Arial" w:cs="Arial"/>
        </w:rPr>
      </w:pPr>
      <w:r w:rsidRPr="001A5DA1">
        <w:rPr>
          <w:rFonts w:ascii="Arial" w:hAnsi="Arial" w:cs="Arial"/>
        </w:rPr>
        <w:t xml:space="preserve">C. La Federación, la Ciudad de México, así como sus demarcaciones territoriales, y los Estados y Municipios conurbados en la Zona Metropolitana, establecerán mecanismos de coordinación administrativa en materia de planeación del desarrollo y ejecución de acciones regionales para la prestación de servicios públicos, en términos de la ley que emita el Congreso de la Unión. </w:t>
      </w:r>
    </w:p>
    <w:p w:rsidR="00E64EFE" w:rsidRPr="001A5DA1" w:rsidRDefault="00AB4B68" w:rsidP="00AB4B68">
      <w:pPr>
        <w:ind w:left="708"/>
        <w:jc w:val="both"/>
        <w:rPr>
          <w:rFonts w:ascii="Arial" w:hAnsi="Arial" w:cs="Arial"/>
        </w:rPr>
      </w:pPr>
      <w:r w:rsidRPr="001A5DA1">
        <w:rPr>
          <w:rFonts w:ascii="Arial" w:hAnsi="Arial" w:cs="Arial"/>
        </w:rPr>
        <w:t>Para la eficaz coordinación a que se refiere el párrafo anterior, dicha ley establecerá las bases para la organización y funcionamiento del Consejo de Desarrollo Metropolitano, al que corresponderá acordar las acciones en materia de asentamientos humanos; movilidad y seguridad vial; protección al ambiente; preservación y restauración del equilibrio ecológico; transporte; tránsito; agua potable y drenaje; recolección, tratamiento y disposición de desechos sólidos, y seguridad pública</w:t>
      </w:r>
    </w:p>
    <w:p w:rsidR="00E64EFE" w:rsidRPr="001A5DA1" w:rsidRDefault="00AB4B68" w:rsidP="00AB4B68">
      <w:pPr>
        <w:ind w:left="708"/>
        <w:jc w:val="both"/>
        <w:rPr>
          <w:rFonts w:ascii="Arial" w:hAnsi="Arial" w:cs="Arial"/>
        </w:rPr>
      </w:pPr>
      <w:r w:rsidRPr="001A5DA1">
        <w:rPr>
          <w:rFonts w:ascii="Arial" w:hAnsi="Arial" w:cs="Arial"/>
        </w:rPr>
        <w:t xml:space="preserve">La ley que emita el Congreso de la Unión establecerá la forma en la que se tomarán las determinaciones del Consejo de Desarrollo Metropolitano, mismas que podrán comprender: </w:t>
      </w:r>
    </w:p>
    <w:p w:rsidR="00E64EFE" w:rsidRPr="001A5DA1" w:rsidRDefault="00AB4B68" w:rsidP="00E64EFE">
      <w:pPr>
        <w:ind w:left="1416"/>
        <w:jc w:val="both"/>
        <w:rPr>
          <w:rFonts w:ascii="Arial" w:hAnsi="Arial" w:cs="Arial"/>
        </w:rPr>
      </w:pPr>
      <w:r w:rsidRPr="001A5DA1">
        <w:rPr>
          <w:rFonts w:ascii="Arial" w:hAnsi="Arial" w:cs="Arial"/>
        </w:rPr>
        <w:t xml:space="preserve">a) La delimitación de los ámbitos territoriales y las acciones de coordinación para la operación y funcionamiento de obras y servicios públicos de alcance metropolitano; </w:t>
      </w:r>
    </w:p>
    <w:p w:rsidR="00E64EFE" w:rsidRPr="001A5DA1" w:rsidRDefault="00AB4B68" w:rsidP="00E64EFE">
      <w:pPr>
        <w:ind w:left="1416"/>
        <w:jc w:val="both"/>
        <w:rPr>
          <w:rFonts w:ascii="Arial" w:hAnsi="Arial" w:cs="Arial"/>
        </w:rPr>
      </w:pPr>
      <w:r w:rsidRPr="001A5DA1">
        <w:rPr>
          <w:rFonts w:ascii="Arial" w:hAnsi="Arial" w:cs="Arial"/>
        </w:rPr>
        <w:t xml:space="preserve">b) Los compromisos que asuma cada una de las partes para la asignación de recursos a los proyectos metropolitanos; y </w:t>
      </w:r>
    </w:p>
    <w:p w:rsidR="00AB4B68" w:rsidRPr="001A5DA1" w:rsidRDefault="00AB4B68" w:rsidP="00E64EFE">
      <w:pPr>
        <w:ind w:left="1416"/>
        <w:jc w:val="both"/>
        <w:rPr>
          <w:rFonts w:ascii="Arial" w:hAnsi="Arial" w:cs="Arial"/>
        </w:rPr>
      </w:pPr>
      <w:r w:rsidRPr="001A5DA1">
        <w:rPr>
          <w:rFonts w:ascii="Arial" w:hAnsi="Arial" w:cs="Arial"/>
        </w:rPr>
        <w:t>c) La proyección conjunta y coordinada del desarrollo de las zonas conurbadas y de prestación de servicios públicos</w:t>
      </w:r>
      <w:r w:rsidR="00E64EFE" w:rsidRPr="001A5DA1">
        <w:rPr>
          <w:rFonts w:ascii="Arial" w:hAnsi="Arial" w:cs="Arial"/>
        </w:rPr>
        <w:t xml:space="preserve">. </w:t>
      </w:r>
    </w:p>
    <w:p w:rsidR="00E64EFE" w:rsidRPr="001A5DA1" w:rsidRDefault="00E64EFE" w:rsidP="00E64EFE">
      <w:pPr>
        <w:jc w:val="both"/>
        <w:rPr>
          <w:rFonts w:ascii="Arial" w:hAnsi="Arial" w:cs="Arial"/>
        </w:rPr>
      </w:pPr>
      <w:r w:rsidRPr="001A5DA1">
        <w:rPr>
          <w:rFonts w:ascii="Arial" w:hAnsi="Arial" w:cs="Arial"/>
          <w:b/>
        </w:rPr>
        <w:t>Artículo 124.</w:t>
      </w:r>
      <w:r w:rsidRPr="001A5DA1">
        <w:rPr>
          <w:rFonts w:ascii="Arial" w:hAnsi="Arial" w:cs="Arial"/>
        </w:rPr>
        <w:t xml:space="preserve"> Las facultades que no están expresamente concedidas por esta Constitución a los funcionarios federales, se entienden reservadas a los Estados o a la Ciudad de México, en los ámbitos de sus respectivas competencias.</w:t>
      </w:r>
    </w:p>
    <w:p w:rsidR="00E64EFE" w:rsidRPr="001A5DA1" w:rsidRDefault="00E64EFE" w:rsidP="00E64EFE">
      <w:pPr>
        <w:jc w:val="both"/>
        <w:rPr>
          <w:rFonts w:ascii="Arial" w:hAnsi="Arial" w:cs="Arial"/>
          <w:u w:val="single"/>
        </w:rPr>
      </w:pPr>
    </w:p>
    <w:p w:rsidR="001A5DA1" w:rsidRDefault="001A5DA1" w:rsidP="00E64EFE">
      <w:pPr>
        <w:jc w:val="both"/>
        <w:rPr>
          <w:rFonts w:ascii="Arial" w:hAnsi="Arial" w:cs="Arial"/>
          <w:b/>
          <w:highlight w:val="yellow"/>
          <w:u w:val="single"/>
        </w:rPr>
      </w:pPr>
    </w:p>
    <w:p w:rsidR="001A5DA1" w:rsidRDefault="001A5DA1" w:rsidP="00E64EFE">
      <w:pPr>
        <w:jc w:val="both"/>
        <w:rPr>
          <w:rFonts w:ascii="Arial" w:hAnsi="Arial" w:cs="Arial"/>
          <w:b/>
          <w:highlight w:val="yellow"/>
          <w:u w:val="single"/>
        </w:rPr>
      </w:pPr>
    </w:p>
    <w:p w:rsidR="001A5DA1" w:rsidRDefault="001A5DA1" w:rsidP="00E64EFE">
      <w:pPr>
        <w:jc w:val="both"/>
        <w:rPr>
          <w:rFonts w:ascii="Arial" w:hAnsi="Arial" w:cs="Arial"/>
          <w:b/>
          <w:highlight w:val="yellow"/>
          <w:u w:val="single"/>
        </w:rPr>
      </w:pPr>
    </w:p>
    <w:p w:rsidR="001A5DA1" w:rsidRDefault="001A5DA1" w:rsidP="00E64EFE">
      <w:pPr>
        <w:jc w:val="both"/>
        <w:rPr>
          <w:rFonts w:ascii="Arial" w:hAnsi="Arial" w:cs="Arial"/>
          <w:b/>
          <w:highlight w:val="yellow"/>
          <w:u w:val="single"/>
        </w:rPr>
      </w:pPr>
    </w:p>
    <w:p w:rsidR="001A5DA1" w:rsidRDefault="001A5DA1" w:rsidP="00E64EFE">
      <w:pPr>
        <w:jc w:val="both"/>
        <w:rPr>
          <w:rFonts w:ascii="Arial" w:hAnsi="Arial" w:cs="Arial"/>
          <w:b/>
          <w:highlight w:val="yellow"/>
          <w:u w:val="single"/>
        </w:rPr>
      </w:pPr>
    </w:p>
    <w:p w:rsidR="001A5DA1" w:rsidRDefault="001A5DA1" w:rsidP="00E64EFE">
      <w:pPr>
        <w:jc w:val="both"/>
        <w:rPr>
          <w:rFonts w:ascii="Arial" w:hAnsi="Arial" w:cs="Arial"/>
          <w:b/>
          <w:highlight w:val="yellow"/>
          <w:u w:val="single"/>
        </w:rPr>
      </w:pPr>
    </w:p>
    <w:p w:rsidR="001A5DA1" w:rsidRDefault="001A5DA1" w:rsidP="00E64EFE">
      <w:pPr>
        <w:jc w:val="both"/>
        <w:rPr>
          <w:rFonts w:ascii="Arial" w:hAnsi="Arial" w:cs="Arial"/>
          <w:b/>
          <w:highlight w:val="yellow"/>
          <w:u w:val="single"/>
        </w:rPr>
      </w:pPr>
    </w:p>
    <w:p w:rsidR="00E64EFE" w:rsidRPr="001A5DA1" w:rsidRDefault="00E64EFE" w:rsidP="00E64EFE">
      <w:pPr>
        <w:jc w:val="both"/>
        <w:rPr>
          <w:rFonts w:ascii="Arial" w:hAnsi="Arial" w:cs="Arial"/>
          <w:b/>
          <w:u w:val="single"/>
        </w:rPr>
      </w:pPr>
      <w:r w:rsidRPr="001A5DA1">
        <w:rPr>
          <w:rFonts w:ascii="Arial" w:hAnsi="Arial" w:cs="Arial"/>
          <w:b/>
          <w:highlight w:val="yellow"/>
          <w:u w:val="single"/>
        </w:rPr>
        <w:t>CONSTITUCIÓN POLÍTICA DE LA CIUDAD DE MÉXICO</w:t>
      </w:r>
      <w:r w:rsidRPr="001A5DA1">
        <w:rPr>
          <w:rFonts w:ascii="Arial" w:hAnsi="Arial" w:cs="Arial"/>
          <w:b/>
          <w:u w:val="single"/>
        </w:rPr>
        <w:t xml:space="preserve"> </w:t>
      </w:r>
    </w:p>
    <w:p w:rsidR="00E64EFE" w:rsidRPr="001A5DA1" w:rsidRDefault="00E64EFE" w:rsidP="00E64EFE">
      <w:pPr>
        <w:jc w:val="both"/>
        <w:rPr>
          <w:rFonts w:ascii="Arial" w:hAnsi="Arial" w:cs="Arial"/>
        </w:rPr>
      </w:pPr>
      <w:r w:rsidRPr="001A5DA1">
        <w:rPr>
          <w:rFonts w:ascii="Arial" w:hAnsi="Arial" w:cs="Arial"/>
          <w:b/>
        </w:rPr>
        <w:t>Artículo 1</w:t>
      </w:r>
      <w:r w:rsidRPr="001A5DA1">
        <w:rPr>
          <w:rFonts w:ascii="Arial" w:hAnsi="Arial" w:cs="Arial"/>
        </w:rPr>
        <w:t xml:space="preserve"> De la Ciudad de México </w:t>
      </w:r>
    </w:p>
    <w:p w:rsidR="001A5DA1" w:rsidRPr="001A5DA1" w:rsidRDefault="00E64EFE" w:rsidP="001A5DA1">
      <w:pPr>
        <w:ind w:left="708"/>
        <w:jc w:val="both"/>
        <w:rPr>
          <w:rFonts w:ascii="Arial" w:hAnsi="Arial" w:cs="Arial"/>
        </w:rPr>
      </w:pPr>
      <w:r w:rsidRPr="001A5DA1">
        <w:rPr>
          <w:rFonts w:ascii="Arial" w:hAnsi="Arial" w:cs="Arial"/>
        </w:rPr>
        <w:t xml:space="preserve">1. La Ciudad de México es una entidad integrante de la Federación, sede de los Poderes de la Unión y capital de los Estados Unidos Mexicanos. </w:t>
      </w:r>
    </w:p>
    <w:p w:rsidR="00E64EFE" w:rsidRPr="001A5DA1" w:rsidRDefault="00E64EFE" w:rsidP="00E64EFE">
      <w:pPr>
        <w:ind w:left="708"/>
        <w:jc w:val="both"/>
        <w:rPr>
          <w:rFonts w:ascii="Arial" w:hAnsi="Arial" w:cs="Arial"/>
        </w:rPr>
      </w:pPr>
      <w:r w:rsidRPr="001A5DA1">
        <w:rPr>
          <w:rFonts w:ascii="Arial" w:hAnsi="Arial" w:cs="Arial"/>
        </w:rPr>
        <w:t xml:space="preserve">2. En la Ciudad la soberanía reside esencial y originariamente en el pueblo, quien la ejerce por conducto de sus poderes públicos y las figuras de democracia directa y participativa, a fin de preservar, ampliar, proteger y garantizar los derechos humanos y el desarrollo integral y progresivo de la sociedad. Todo poder público dimana del pueblo y se instituye para beneficio de éste. </w:t>
      </w:r>
    </w:p>
    <w:p w:rsidR="00E64EFE" w:rsidRPr="001A5DA1" w:rsidRDefault="00E64EFE" w:rsidP="00E64EFE">
      <w:pPr>
        <w:ind w:left="708"/>
        <w:jc w:val="both"/>
        <w:rPr>
          <w:rFonts w:ascii="Arial" w:hAnsi="Arial" w:cs="Arial"/>
        </w:rPr>
      </w:pPr>
      <w:r w:rsidRPr="001A5DA1">
        <w:rPr>
          <w:rFonts w:ascii="Arial" w:hAnsi="Arial" w:cs="Arial"/>
        </w:rPr>
        <w:t xml:space="preserve">3. La Ciudad adopta para su gobierno la forma republicana, democrática, representativa, laica y popular, bajo un sistema de división de poderes, pluralismo político y participación social. </w:t>
      </w:r>
    </w:p>
    <w:p w:rsidR="00E64EFE" w:rsidRPr="001A5DA1" w:rsidRDefault="00E64EFE" w:rsidP="00E64EFE">
      <w:pPr>
        <w:ind w:left="708"/>
        <w:jc w:val="both"/>
        <w:rPr>
          <w:rFonts w:ascii="Arial" w:hAnsi="Arial" w:cs="Arial"/>
        </w:rPr>
      </w:pPr>
      <w:r w:rsidRPr="001A5DA1">
        <w:rPr>
          <w:rFonts w:ascii="Arial" w:hAnsi="Arial" w:cs="Arial"/>
        </w:rPr>
        <w:t xml:space="preserve">4. La Ciudad es libre y autónoma en todo lo concerniente a su régimen interior y a su organización política y administrativa. </w:t>
      </w:r>
    </w:p>
    <w:p w:rsidR="00E64EFE" w:rsidRPr="001A5DA1" w:rsidRDefault="00E64EFE" w:rsidP="00E64EFE">
      <w:pPr>
        <w:ind w:left="708"/>
        <w:jc w:val="both"/>
        <w:rPr>
          <w:rFonts w:ascii="Arial" w:hAnsi="Arial" w:cs="Arial"/>
        </w:rPr>
      </w:pPr>
      <w:r w:rsidRPr="001A5DA1">
        <w:rPr>
          <w:rFonts w:ascii="Arial" w:hAnsi="Arial" w:cs="Arial"/>
        </w:rPr>
        <w:t xml:space="preserve">5. Las autoridades de la Ciudad ejercen las facultades que les otorga la Constitución Política de los Estados Unidos Mexicanos, todas aquellas que ésta no concede expresamente a los funcionarios federales y las previstas en esta Constitución. </w:t>
      </w:r>
    </w:p>
    <w:p w:rsidR="00E64EFE" w:rsidRPr="001A5DA1" w:rsidRDefault="00E64EFE" w:rsidP="00E64EFE">
      <w:pPr>
        <w:ind w:left="708"/>
        <w:jc w:val="both"/>
        <w:rPr>
          <w:rFonts w:ascii="Arial" w:hAnsi="Arial" w:cs="Arial"/>
        </w:rPr>
      </w:pPr>
      <w:r w:rsidRPr="001A5DA1">
        <w:rPr>
          <w:rFonts w:ascii="Arial" w:hAnsi="Arial" w:cs="Arial"/>
        </w:rPr>
        <w:t xml:space="preserve">6. Para la construcción del futuro la Ciudad impulsa la sociedad del conocimiento, la educación integral e inclusiva, la investigación científica, la innovación tecnológica y la difusión del saber. </w:t>
      </w:r>
    </w:p>
    <w:p w:rsidR="00E64EFE" w:rsidRPr="001A5DA1" w:rsidRDefault="00E64EFE" w:rsidP="00E64EFE">
      <w:pPr>
        <w:ind w:left="708"/>
        <w:jc w:val="both"/>
        <w:rPr>
          <w:rFonts w:ascii="Arial" w:hAnsi="Arial" w:cs="Arial"/>
        </w:rPr>
      </w:pPr>
      <w:r w:rsidRPr="001A5DA1">
        <w:rPr>
          <w:rFonts w:ascii="Arial" w:hAnsi="Arial" w:cs="Arial"/>
        </w:rPr>
        <w:t>7. La sustentabilidad de la Ciudad exige eficiencia en el uso del territorio, así como en la gestión de bienes públicos, infraestructura, servicios y equipamiento. De ello depende su competitividad, productividad y prosperidad.</w:t>
      </w:r>
    </w:p>
    <w:p w:rsidR="00E64EFE" w:rsidRPr="001A5DA1" w:rsidRDefault="00E64EFE" w:rsidP="00E64EFE">
      <w:pPr>
        <w:ind w:left="708"/>
        <w:jc w:val="both"/>
        <w:rPr>
          <w:rFonts w:ascii="Arial" w:hAnsi="Arial" w:cs="Arial"/>
        </w:rPr>
      </w:pPr>
      <w:r w:rsidRPr="001A5DA1">
        <w:rPr>
          <w:rFonts w:ascii="Arial" w:hAnsi="Arial" w:cs="Arial"/>
        </w:rPr>
        <w:t>8. El territorio de la Ciudad de México es el que actualmente tiene de conformidad con el artículo 44 de la Constitución Política de los Estados Unidos Mexicanos. Sus límites geográficos son los fijados por los decretos del 15 y 17 de diciembre de 1898 expedidos por el Congreso de la Unión.</w:t>
      </w:r>
    </w:p>
    <w:p w:rsidR="00E64EFE" w:rsidRPr="001A5DA1" w:rsidRDefault="00E64EFE" w:rsidP="00E64EFE">
      <w:pPr>
        <w:jc w:val="both"/>
        <w:rPr>
          <w:rFonts w:ascii="Arial" w:hAnsi="Arial" w:cs="Arial"/>
        </w:rPr>
      </w:pPr>
      <w:r w:rsidRPr="001A5DA1">
        <w:rPr>
          <w:rFonts w:ascii="Arial" w:hAnsi="Arial" w:cs="Arial"/>
          <w:b/>
        </w:rPr>
        <w:t>Artículo 52</w:t>
      </w:r>
      <w:r w:rsidRPr="001A5DA1">
        <w:rPr>
          <w:rFonts w:ascii="Arial" w:hAnsi="Arial" w:cs="Arial"/>
        </w:rPr>
        <w:t xml:space="preserve"> Demarcaciones territoriales</w:t>
      </w:r>
      <w:r w:rsidRPr="001A5DA1">
        <w:rPr>
          <w:rFonts w:ascii="Arial" w:hAnsi="Arial" w:cs="Arial"/>
        </w:rPr>
        <w:t>.</w:t>
      </w:r>
    </w:p>
    <w:p w:rsidR="00E64EFE" w:rsidRPr="001A5DA1" w:rsidRDefault="00E64EFE" w:rsidP="00E64EFE">
      <w:pPr>
        <w:ind w:left="708"/>
        <w:jc w:val="both"/>
        <w:rPr>
          <w:rFonts w:ascii="Arial" w:hAnsi="Arial" w:cs="Arial"/>
        </w:rPr>
      </w:pPr>
      <w:r w:rsidRPr="001A5DA1">
        <w:rPr>
          <w:rFonts w:ascii="Arial" w:hAnsi="Arial" w:cs="Arial"/>
        </w:rPr>
        <w:t>4. La Ciudad de México está integrada por las siguientes demarcaciones territoriales: Álvaro Obregón, Azcapotzalco, Benito Juárez, Coyoacán, Cuajimalpa de Morelos, Cuauhtémoc, Gustavo A. Madero, Iztacalco, Iztapalapa, Magdalena Contreras, Miguel Hidalgo, Milpa Alta, Tláhuac, Tlalpan, Venustiano Carranza y Xochimilco. Las demarcaciones territoriales podrán ser modificadas en los términos establecidos en esta Constitución, sin que puedan ser menos en cantidad a las establecidas al momento de su entrada en vigor.</w:t>
      </w:r>
    </w:p>
    <w:p w:rsidR="00E64EFE" w:rsidRDefault="00E64EFE" w:rsidP="00E64EFE">
      <w:pPr>
        <w:jc w:val="both"/>
        <w:rPr>
          <w:rFonts w:ascii="Arial" w:hAnsi="Arial" w:cs="Arial"/>
        </w:rPr>
      </w:pPr>
    </w:p>
    <w:p w:rsidR="001A5DA1" w:rsidRDefault="001A5DA1" w:rsidP="00E64EFE">
      <w:pPr>
        <w:jc w:val="both"/>
        <w:rPr>
          <w:rFonts w:ascii="Arial" w:hAnsi="Arial" w:cs="Arial"/>
        </w:rPr>
      </w:pPr>
    </w:p>
    <w:p w:rsidR="001A5DA1" w:rsidRDefault="001A5DA1" w:rsidP="00E64EFE">
      <w:pPr>
        <w:jc w:val="both"/>
        <w:rPr>
          <w:rFonts w:ascii="Arial" w:hAnsi="Arial" w:cs="Arial"/>
        </w:rPr>
      </w:pPr>
    </w:p>
    <w:p w:rsidR="001A5DA1" w:rsidRPr="001A5DA1" w:rsidRDefault="001A5DA1" w:rsidP="00E64EFE">
      <w:pPr>
        <w:jc w:val="both"/>
        <w:rPr>
          <w:rFonts w:ascii="Arial" w:hAnsi="Arial" w:cs="Arial"/>
          <w:b/>
          <w:sz w:val="24"/>
        </w:rPr>
      </w:pPr>
    </w:p>
    <w:p w:rsidR="00E64EFE" w:rsidRPr="001A5DA1" w:rsidRDefault="00E64EFE" w:rsidP="00E64EFE">
      <w:pPr>
        <w:jc w:val="both"/>
        <w:rPr>
          <w:rFonts w:ascii="Arial" w:hAnsi="Arial" w:cs="Arial"/>
          <w:b/>
          <w:sz w:val="28"/>
          <w:u w:val="single"/>
        </w:rPr>
      </w:pPr>
      <w:r w:rsidRPr="001A5DA1">
        <w:rPr>
          <w:rFonts w:ascii="Arial" w:hAnsi="Arial" w:cs="Arial"/>
          <w:b/>
          <w:sz w:val="24"/>
          <w:highlight w:val="yellow"/>
          <w:u w:val="single"/>
        </w:rPr>
        <w:t>LEY ORGÁNICA DE ALCALDÍAS DE LA CIUDAD DE MÉXICO</w:t>
      </w:r>
    </w:p>
    <w:p w:rsidR="00E64EFE" w:rsidRPr="001A5DA1" w:rsidRDefault="00E64EFE" w:rsidP="00E64EFE">
      <w:pPr>
        <w:jc w:val="both"/>
        <w:rPr>
          <w:rFonts w:ascii="Arial" w:hAnsi="Arial" w:cs="Arial"/>
        </w:rPr>
      </w:pPr>
      <w:r w:rsidRPr="001A5DA1">
        <w:rPr>
          <w:rFonts w:ascii="Arial" w:hAnsi="Arial" w:cs="Arial"/>
          <w:b/>
        </w:rPr>
        <w:t>Artículo 2</w:t>
      </w:r>
      <w:r w:rsidRPr="001A5DA1">
        <w:rPr>
          <w:rFonts w:ascii="Arial" w:hAnsi="Arial" w:cs="Arial"/>
        </w:rPr>
        <w:t>. Para los efectos de la presente ley se entenderá por:</w:t>
      </w:r>
    </w:p>
    <w:p w:rsidR="00E64EFE" w:rsidRPr="001A5DA1" w:rsidRDefault="00E64EFE" w:rsidP="00E64EFE">
      <w:pPr>
        <w:ind w:left="705"/>
        <w:jc w:val="both"/>
        <w:rPr>
          <w:rFonts w:ascii="Arial" w:hAnsi="Arial" w:cs="Arial"/>
        </w:rPr>
      </w:pPr>
      <w:r w:rsidRPr="001A5DA1">
        <w:rPr>
          <w:rFonts w:ascii="Arial" w:hAnsi="Arial" w:cs="Arial"/>
        </w:rPr>
        <w:t>II. Alcaldía: El órgano político administrativo de cada demarcación territorial de la Ciudad de México.</w:t>
      </w:r>
      <w:r w:rsidRPr="001A5DA1">
        <w:rPr>
          <w:rFonts w:ascii="Arial" w:hAnsi="Arial" w:cs="Arial"/>
        </w:rPr>
        <w:tab/>
      </w:r>
    </w:p>
    <w:p w:rsidR="00E64EFE" w:rsidRPr="001A5DA1" w:rsidRDefault="00E64EFE" w:rsidP="00E64EFE">
      <w:pPr>
        <w:jc w:val="both"/>
        <w:rPr>
          <w:rFonts w:ascii="Arial" w:hAnsi="Arial" w:cs="Arial"/>
        </w:rPr>
      </w:pPr>
      <w:r w:rsidRPr="001A5DA1">
        <w:rPr>
          <w:rFonts w:ascii="Arial" w:hAnsi="Arial" w:cs="Arial"/>
          <w:b/>
        </w:rPr>
        <w:t>Artículo 6.</w:t>
      </w:r>
      <w:r w:rsidRPr="001A5DA1">
        <w:rPr>
          <w:rFonts w:ascii="Arial" w:hAnsi="Arial" w:cs="Arial"/>
        </w:rPr>
        <w:t xml:space="preserve"> La Ciudad tiene 16 demarcaciones territoriales, con la siguiente denominación: Álvaro Obregón, Azcapotzalco, Benito Juárez, Coyoacán, Cuajimalpa de Morelos, Cuauhtémoc, Gustavo A. Madero, Iztacalco, Iztapalapa, La Magdalena Contreras, Miguel Hidalgo, Milpa Alta, Tláhuac, Tlalpan, Venustiano Carranza y Xochimilco.</w:t>
      </w:r>
    </w:p>
    <w:p w:rsidR="00E64EFE" w:rsidRPr="001A5DA1" w:rsidRDefault="00E64EFE" w:rsidP="00E64EFE">
      <w:pPr>
        <w:jc w:val="both"/>
        <w:rPr>
          <w:rFonts w:ascii="Arial" w:hAnsi="Arial" w:cs="Arial"/>
        </w:rPr>
      </w:pPr>
      <w:r w:rsidRPr="001A5DA1">
        <w:rPr>
          <w:rFonts w:ascii="Arial" w:hAnsi="Arial" w:cs="Arial"/>
          <w:b/>
        </w:rPr>
        <w:t>Artículo 7.</w:t>
      </w:r>
      <w:r w:rsidRPr="001A5DA1">
        <w:rPr>
          <w:rFonts w:ascii="Arial" w:hAnsi="Arial" w:cs="Arial"/>
        </w:rPr>
        <w:t xml:space="preserve"> En términos de lo establecido en la Constitución Local, las demarcaciones territoriales, denominación y límites territoriales que prevea la ley en la materia, considerarán: población, configuración geográfica, identidades culturales, reconocimiento a los pueblos y barrios originarios y comunidades indígenas residentes; factores históricos, infraestructura y equipamiento urbano, número y extensión de colonias, pueblos, barrios, comunidades o unidades habitacionales; directrices de conformación o reclasificación de asentamientos humanos con categoría de colonias, previsión de los redimensionamientos estructurales y funcionales, incluyendo áreas forestales y reservas hídricas; y presupuesto de egresos y previsiones de ingresos de la entidad.</w:t>
      </w:r>
    </w:p>
    <w:p w:rsidR="004C450E" w:rsidRPr="001A5DA1" w:rsidRDefault="004C450E" w:rsidP="00E64EFE">
      <w:pPr>
        <w:jc w:val="both"/>
        <w:rPr>
          <w:rFonts w:ascii="Arial" w:hAnsi="Arial" w:cs="Arial"/>
        </w:rPr>
      </w:pPr>
      <w:r w:rsidRPr="001A5DA1">
        <w:rPr>
          <w:rFonts w:ascii="Arial" w:hAnsi="Arial" w:cs="Arial"/>
          <w:b/>
        </w:rPr>
        <w:t xml:space="preserve">Artículo 21. </w:t>
      </w:r>
      <w:r w:rsidRPr="001A5DA1">
        <w:rPr>
          <w:rFonts w:ascii="Arial" w:hAnsi="Arial" w:cs="Arial"/>
        </w:rPr>
        <w:t xml:space="preserve">La administración pública de las Alcaldías corresponde a las Alcaldesas y los Alcaldes. </w:t>
      </w:r>
    </w:p>
    <w:p w:rsidR="004C450E" w:rsidRPr="001A5DA1" w:rsidRDefault="004C450E" w:rsidP="00E64EFE">
      <w:pPr>
        <w:jc w:val="both"/>
        <w:rPr>
          <w:rFonts w:ascii="Arial" w:hAnsi="Arial" w:cs="Arial"/>
        </w:rPr>
      </w:pPr>
      <w:r w:rsidRPr="001A5DA1">
        <w:rPr>
          <w:rFonts w:ascii="Arial" w:hAnsi="Arial" w:cs="Arial"/>
          <w:b/>
        </w:rPr>
        <w:t>Artículo 22.</w:t>
      </w:r>
      <w:r w:rsidRPr="001A5DA1">
        <w:rPr>
          <w:rFonts w:ascii="Arial" w:hAnsi="Arial" w:cs="Arial"/>
        </w:rPr>
        <w:t xml:space="preserve"> Para ser Alcaldesa o Alcalde se requiere: </w:t>
      </w:r>
    </w:p>
    <w:p w:rsidR="004C450E" w:rsidRPr="001A5DA1" w:rsidRDefault="004C450E" w:rsidP="004C450E">
      <w:pPr>
        <w:ind w:left="708"/>
        <w:jc w:val="both"/>
        <w:rPr>
          <w:rFonts w:ascii="Arial" w:hAnsi="Arial" w:cs="Arial"/>
        </w:rPr>
      </w:pPr>
      <w:r w:rsidRPr="001A5DA1">
        <w:rPr>
          <w:rFonts w:ascii="Arial" w:hAnsi="Arial" w:cs="Arial"/>
        </w:rPr>
        <w:t xml:space="preserve">I. Tener la ciudadanía mexicana en el ejercicio de sus derechos; </w:t>
      </w:r>
    </w:p>
    <w:p w:rsidR="004C450E" w:rsidRPr="001A5DA1" w:rsidRDefault="004C450E" w:rsidP="004C450E">
      <w:pPr>
        <w:ind w:left="708"/>
        <w:jc w:val="both"/>
        <w:rPr>
          <w:rFonts w:ascii="Arial" w:hAnsi="Arial" w:cs="Arial"/>
        </w:rPr>
      </w:pPr>
      <w:r w:rsidRPr="001A5DA1">
        <w:rPr>
          <w:rFonts w:ascii="Arial" w:hAnsi="Arial" w:cs="Arial"/>
        </w:rPr>
        <w:t xml:space="preserve">II. Tener por lo menos veinticinco años al día de la elección; </w:t>
      </w:r>
    </w:p>
    <w:p w:rsidR="004C450E" w:rsidRPr="001A5DA1" w:rsidRDefault="004C450E" w:rsidP="004C450E">
      <w:pPr>
        <w:ind w:left="708"/>
        <w:jc w:val="both"/>
        <w:rPr>
          <w:rFonts w:ascii="Arial" w:hAnsi="Arial" w:cs="Arial"/>
        </w:rPr>
      </w:pPr>
      <w:r w:rsidRPr="001A5DA1">
        <w:rPr>
          <w:rFonts w:ascii="Arial" w:hAnsi="Arial" w:cs="Arial"/>
        </w:rPr>
        <w:t xml:space="preserve">III. Tener residencia efectiva en la demarcación territorial correspondiente a su candidatura, por lo menos de seis meses ininterrumpidos inmediatamente anteriores al día de la elección; </w:t>
      </w:r>
    </w:p>
    <w:p w:rsidR="004C450E" w:rsidRPr="001A5DA1" w:rsidRDefault="004C450E" w:rsidP="004C450E">
      <w:pPr>
        <w:ind w:left="708"/>
        <w:jc w:val="both"/>
        <w:rPr>
          <w:rFonts w:ascii="Arial" w:hAnsi="Arial" w:cs="Arial"/>
        </w:rPr>
      </w:pPr>
      <w:r w:rsidRPr="001A5DA1">
        <w:rPr>
          <w:rFonts w:ascii="Arial" w:hAnsi="Arial" w:cs="Arial"/>
        </w:rPr>
        <w:t xml:space="preserve">IV. No ser legisladora o legislador en el Congreso de la Unión o en el Congreso de la Ciudad, juez, magistrada o magistrado, consejera o consejero de la Judicatura del Poder Judicial, no ejercer un mando medio o superior en la administración pública federal, local o de las Alcaldías, militar o miembro de las fuerzas de seguridad ciudadana de la Ciudad, a menos que se separen de sus respectivos cargos por lo menos 60 días antes de la elección; y </w:t>
      </w:r>
    </w:p>
    <w:p w:rsidR="00E64EFE" w:rsidRPr="001A5DA1" w:rsidRDefault="004C450E" w:rsidP="004C450E">
      <w:pPr>
        <w:ind w:left="708"/>
        <w:jc w:val="both"/>
        <w:rPr>
          <w:rFonts w:ascii="Arial" w:hAnsi="Arial" w:cs="Arial"/>
        </w:rPr>
      </w:pPr>
      <w:r w:rsidRPr="001A5DA1">
        <w:rPr>
          <w:rFonts w:ascii="Arial" w:hAnsi="Arial" w:cs="Arial"/>
        </w:rPr>
        <w:t>V. No ocupar el cargo de ministra o ministro de algún culto religioso, a no ser que hubiere dejado de serlo con cinco años de anticipación y en la forma que establece la Ley en la materia.</w:t>
      </w:r>
    </w:p>
    <w:p w:rsidR="001A5DA1" w:rsidRDefault="001A5DA1" w:rsidP="004C450E">
      <w:pPr>
        <w:jc w:val="both"/>
        <w:rPr>
          <w:rFonts w:ascii="Arial" w:hAnsi="Arial" w:cs="Arial"/>
          <w:b/>
        </w:rPr>
      </w:pPr>
    </w:p>
    <w:p w:rsidR="001A5DA1" w:rsidRDefault="001A5DA1" w:rsidP="004C450E">
      <w:pPr>
        <w:jc w:val="both"/>
        <w:rPr>
          <w:rFonts w:ascii="Arial" w:hAnsi="Arial" w:cs="Arial"/>
          <w:b/>
        </w:rPr>
      </w:pPr>
    </w:p>
    <w:p w:rsidR="001A5DA1" w:rsidRDefault="001A5DA1" w:rsidP="004C450E">
      <w:pPr>
        <w:jc w:val="both"/>
        <w:rPr>
          <w:rFonts w:ascii="Arial" w:hAnsi="Arial" w:cs="Arial"/>
          <w:b/>
        </w:rPr>
      </w:pPr>
    </w:p>
    <w:p w:rsidR="004C450E" w:rsidRPr="001A5DA1" w:rsidRDefault="004C450E" w:rsidP="004C450E">
      <w:pPr>
        <w:jc w:val="both"/>
        <w:rPr>
          <w:rFonts w:ascii="Arial" w:hAnsi="Arial" w:cs="Arial"/>
          <w:b/>
          <w:sz w:val="24"/>
          <w:u w:val="single"/>
        </w:rPr>
      </w:pPr>
      <w:r w:rsidRPr="001A5DA1">
        <w:rPr>
          <w:rFonts w:ascii="Arial" w:hAnsi="Arial" w:cs="Arial"/>
          <w:b/>
          <w:sz w:val="24"/>
          <w:highlight w:val="yellow"/>
          <w:u w:val="single"/>
        </w:rPr>
        <w:t>LEY FEDERAL DE TRANSPARENCIA Y ACCESO A LA INFORMACIÓN PÚBLICA</w:t>
      </w:r>
    </w:p>
    <w:p w:rsidR="004C450E" w:rsidRPr="001A5DA1" w:rsidRDefault="004C450E" w:rsidP="00E64EFE">
      <w:pPr>
        <w:jc w:val="both"/>
        <w:rPr>
          <w:rFonts w:ascii="Arial" w:hAnsi="Arial" w:cs="Arial"/>
        </w:rPr>
      </w:pPr>
      <w:r w:rsidRPr="001A5DA1">
        <w:rPr>
          <w:rFonts w:ascii="Arial" w:hAnsi="Arial" w:cs="Arial"/>
          <w:b/>
        </w:rPr>
        <w:t>Artículo 6.</w:t>
      </w:r>
      <w:r w:rsidRPr="001A5DA1">
        <w:rPr>
          <w:rFonts w:ascii="Arial" w:hAnsi="Arial" w:cs="Arial"/>
        </w:rPr>
        <w:t xml:space="preserve"> En la aplicación e interpretación de la presente Ley deberá prevalecer el principio de máxima publicidad, conforme a lo dispuesto en la Constitución, la Ley General, los tratados internacionales de los que el Estado mexicano sea parte, así como en las resoluciones y sentencias vinculantes que emitan los órganos nacionales e internacionales especializados, favoreciendo en todo tiempo a las personas la protección más amplia. </w:t>
      </w:r>
    </w:p>
    <w:p w:rsidR="004C450E" w:rsidRPr="001A5DA1" w:rsidRDefault="004C450E" w:rsidP="00E64EFE">
      <w:pPr>
        <w:jc w:val="both"/>
        <w:rPr>
          <w:rFonts w:ascii="Arial" w:hAnsi="Arial" w:cs="Arial"/>
        </w:rPr>
      </w:pPr>
      <w:r w:rsidRPr="001A5DA1">
        <w:rPr>
          <w:rFonts w:ascii="Arial" w:hAnsi="Arial" w:cs="Arial"/>
        </w:rPr>
        <w:t xml:space="preserve">Para el caso de la interpretación, se podrá tomar en cuenta los criterios, determinaciones y opiniones de los organismos nacionales e internacionales, en materia de transparencia. </w:t>
      </w:r>
    </w:p>
    <w:p w:rsidR="004C450E" w:rsidRPr="001A5DA1" w:rsidRDefault="004C450E" w:rsidP="00E64EFE">
      <w:pPr>
        <w:jc w:val="both"/>
        <w:rPr>
          <w:rFonts w:ascii="Arial" w:hAnsi="Arial" w:cs="Arial"/>
        </w:rPr>
      </w:pPr>
      <w:r w:rsidRPr="001A5DA1">
        <w:rPr>
          <w:rFonts w:ascii="Arial" w:hAnsi="Arial" w:cs="Arial"/>
        </w:rPr>
        <w:t xml:space="preserve">En el ejercicio, tramitación e interpretación de la presente Ley, los sujetos obligados y el Instituto deberán atender a los principios señalados en los artículos 8 a 22 de la Ley General, según corresponda. </w:t>
      </w:r>
    </w:p>
    <w:p w:rsidR="00E64EFE" w:rsidRPr="001A5DA1" w:rsidRDefault="004C450E" w:rsidP="00E64EFE">
      <w:pPr>
        <w:jc w:val="both"/>
        <w:rPr>
          <w:rFonts w:ascii="Arial" w:hAnsi="Arial" w:cs="Arial"/>
        </w:rPr>
      </w:pPr>
      <w:r w:rsidRPr="001A5DA1">
        <w:rPr>
          <w:rFonts w:ascii="Arial" w:hAnsi="Arial" w:cs="Arial"/>
        </w:rPr>
        <w:t xml:space="preserve">Las disposiciones que regulen aspectos de transparencia y acceso a la información previstas en la legislación federal en su conjunto, deberán interpretarse armónicamente con la Ley General, atendiendo al principio </w:t>
      </w:r>
      <w:proofErr w:type="spellStart"/>
      <w:r w:rsidRPr="001A5DA1">
        <w:rPr>
          <w:rFonts w:ascii="Arial" w:hAnsi="Arial" w:cs="Arial"/>
        </w:rPr>
        <w:t>pro</w:t>
      </w:r>
      <w:proofErr w:type="spellEnd"/>
      <w:r w:rsidRPr="001A5DA1">
        <w:rPr>
          <w:rFonts w:ascii="Arial" w:hAnsi="Arial" w:cs="Arial"/>
        </w:rPr>
        <w:t xml:space="preserve"> persona.</w:t>
      </w:r>
    </w:p>
    <w:p w:rsidR="004C450E" w:rsidRPr="001A5DA1" w:rsidRDefault="004C450E" w:rsidP="00E64EFE">
      <w:pPr>
        <w:jc w:val="both"/>
        <w:rPr>
          <w:rFonts w:ascii="Arial" w:hAnsi="Arial" w:cs="Arial"/>
        </w:rPr>
      </w:pPr>
      <w:r w:rsidRPr="001A5DA1">
        <w:rPr>
          <w:rFonts w:ascii="Arial" w:hAnsi="Arial" w:cs="Arial"/>
          <w:b/>
        </w:rPr>
        <w:t>Artículo 9.</w:t>
      </w:r>
      <w:r w:rsidRPr="001A5DA1">
        <w:rPr>
          <w:rFonts w:ascii="Arial" w:hAnsi="Arial" w:cs="Arial"/>
        </w:rPr>
        <w:t xml:space="preserve"> Son sujetos obligados a transparentar y permitir el acceso a la información y proteger los datos personales que obren en su poder los citados en el artículo 1 de la presente Ley.</w:t>
      </w:r>
    </w:p>
    <w:p w:rsidR="004C450E" w:rsidRPr="001A5DA1" w:rsidRDefault="004C450E" w:rsidP="00E64EFE">
      <w:pPr>
        <w:jc w:val="both"/>
        <w:rPr>
          <w:rFonts w:ascii="Arial" w:hAnsi="Arial" w:cs="Arial"/>
        </w:rPr>
      </w:pPr>
      <w:r w:rsidRPr="001A5DA1">
        <w:rPr>
          <w:rFonts w:ascii="Arial" w:hAnsi="Arial" w:cs="Arial"/>
          <w:b/>
        </w:rPr>
        <w:t>Artículo 16.</w:t>
      </w:r>
      <w:r w:rsidRPr="001A5DA1">
        <w:rPr>
          <w:rFonts w:ascii="Arial" w:hAnsi="Arial" w:cs="Arial"/>
        </w:rPr>
        <w:t xml:space="preserve"> Los sujetos obligados serán responsables de los datos personales y, en relación con éstos, deberán cumplir, con las obligaciones establecidas en las leyes de la materia y en la Ley General.</w:t>
      </w:r>
    </w:p>
    <w:p w:rsidR="001A5DA1" w:rsidRPr="001A5DA1" w:rsidRDefault="004C450E" w:rsidP="00E64EFE">
      <w:pPr>
        <w:jc w:val="both"/>
        <w:rPr>
          <w:rFonts w:ascii="Arial" w:hAnsi="Arial" w:cs="Arial"/>
        </w:rPr>
      </w:pPr>
      <w:r w:rsidRPr="001A5DA1">
        <w:rPr>
          <w:rFonts w:ascii="Arial" w:hAnsi="Arial" w:cs="Arial"/>
          <w:b/>
        </w:rPr>
        <w:t>Artículo 113.</w:t>
      </w:r>
      <w:r w:rsidRPr="001A5DA1">
        <w:rPr>
          <w:rFonts w:ascii="Arial" w:hAnsi="Arial" w:cs="Arial"/>
        </w:rPr>
        <w:t xml:space="preserve"> Se considera información confidencial: </w:t>
      </w:r>
    </w:p>
    <w:p w:rsidR="001A5DA1" w:rsidRPr="001A5DA1" w:rsidRDefault="004C450E" w:rsidP="001A5DA1">
      <w:pPr>
        <w:ind w:left="708"/>
        <w:jc w:val="both"/>
        <w:rPr>
          <w:rFonts w:ascii="Arial" w:hAnsi="Arial" w:cs="Arial"/>
        </w:rPr>
      </w:pPr>
      <w:r w:rsidRPr="001A5DA1">
        <w:rPr>
          <w:rFonts w:ascii="Arial" w:hAnsi="Arial" w:cs="Arial"/>
        </w:rPr>
        <w:t xml:space="preserve">I. La que contiene datos personales concernientes a una persona física identificada o identificable; </w:t>
      </w:r>
    </w:p>
    <w:p w:rsidR="001A5DA1" w:rsidRPr="001A5DA1" w:rsidRDefault="004C450E" w:rsidP="001A5DA1">
      <w:pPr>
        <w:ind w:left="708"/>
        <w:jc w:val="both"/>
        <w:rPr>
          <w:rFonts w:ascii="Arial" w:hAnsi="Arial" w:cs="Arial"/>
        </w:rPr>
      </w:pPr>
      <w:r w:rsidRPr="001A5DA1">
        <w:rPr>
          <w:rFonts w:ascii="Arial" w:hAnsi="Arial" w:cs="Arial"/>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1A5DA1" w:rsidRPr="001A5DA1" w:rsidRDefault="004C450E" w:rsidP="001A5DA1">
      <w:pPr>
        <w:ind w:left="708"/>
        <w:jc w:val="both"/>
        <w:rPr>
          <w:rFonts w:ascii="Arial" w:hAnsi="Arial" w:cs="Arial"/>
        </w:rPr>
      </w:pPr>
      <w:r w:rsidRPr="001A5DA1">
        <w:rPr>
          <w:rFonts w:ascii="Arial" w:hAnsi="Arial" w:cs="Arial"/>
        </w:rPr>
        <w:t xml:space="preserve">III. Aquella que presenten los particulares a los sujetos obligados, siempre que tengan el derecho a ello, de conformidad con lo dispuesto por las leyes o los tratados internacionales. </w:t>
      </w:r>
    </w:p>
    <w:p w:rsidR="004C450E" w:rsidRPr="001A5DA1" w:rsidRDefault="004C450E" w:rsidP="00E64EFE">
      <w:pPr>
        <w:jc w:val="both"/>
        <w:rPr>
          <w:rFonts w:ascii="Arial" w:hAnsi="Arial" w:cs="Arial"/>
        </w:rPr>
      </w:pPr>
      <w:r w:rsidRPr="001A5DA1">
        <w:rPr>
          <w:rFonts w:ascii="Arial" w:hAnsi="Arial" w:cs="Arial"/>
        </w:rPr>
        <w:t>La información confidencial no estará sujeta a temporalidad alguna y sólo podrán tener acceso a ella los titulares de la misma, sus representantes y los Servidores Públicos facultados para ello.</w:t>
      </w:r>
    </w:p>
    <w:p w:rsidR="001A5DA1" w:rsidRPr="001A5DA1" w:rsidRDefault="001A5DA1" w:rsidP="00E64EFE">
      <w:pPr>
        <w:jc w:val="both"/>
        <w:rPr>
          <w:rFonts w:ascii="Arial" w:hAnsi="Arial" w:cs="Arial"/>
        </w:rPr>
      </w:pPr>
    </w:p>
    <w:p w:rsidR="001A5DA1" w:rsidRDefault="001A5DA1" w:rsidP="00E64EFE">
      <w:pPr>
        <w:jc w:val="both"/>
        <w:rPr>
          <w:rFonts w:ascii="Arial" w:hAnsi="Arial" w:cs="Arial"/>
        </w:rPr>
      </w:pPr>
    </w:p>
    <w:p w:rsidR="001A5DA1" w:rsidRDefault="001A5DA1" w:rsidP="00E64EFE">
      <w:pPr>
        <w:jc w:val="both"/>
        <w:rPr>
          <w:rFonts w:ascii="Arial" w:hAnsi="Arial" w:cs="Arial"/>
        </w:rPr>
      </w:pPr>
    </w:p>
    <w:p w:rsidR="001A5DA1" w:rsidRDefault="001A5DA1" w:rsidP="00E64EFE">
      <w:pPr>
        <w:jc w:val="both"/>
        <w:rPr>
          <w:rFonts w:ascii="Arial" w:hAnsi="Arial" w:cs="Arial"/>
        </w:rPr>
      </w:pPr>
    </w:p>
    <w:p w:rsidR="001A5DA1" w:rsidRPr="001A5DA1" w:rsidRDefault="001A5DA1" w:rsidP="00E64EFE">
      <w:pPr>
        <w:jc w:val="both"/>
        <w:rPr>
          <w:rFonts w:ascii="Arial" w:hAnsi="Arial" w:cs="Arial"/>
        </w:rPr>
      </w:pPr>
    </w:p>
    <w:p w:rsidR="001A5DA1" w:rsidRPr="001A5DA1" w:rsidRDefault="001A5DA1" w:rsidP="00E64EFE">
      <w:pPr>
        <w:jc w:val="both"/>
        <w:rPr>
          <w:rFonts w:ascii="Arial" w:hAnsi="Arial" w:cs="Arial"/>
          <w:sz w:val="24"/>
        </w:rPr>
      </w:pPr>
    </w:p>
    <w:p w:rsidR="001A5DA1" w:rsidRPr="001A5DA1" w:rsidRDefault="001A5DA1" w:rsidP="00E64EFE">
      <w:pPr>
        <w:jc w:val="both"/>
        <w:rPr>
          <w:rFonts w:ascii="Arial" w:hAnsi="Arial" w:cs="Arial"/>
          <w:b/>
          <w:sz w:val="28"/>
          <w:u w:val="single"/>
        </w:rPr>
      </w:pPr>
      <w:r w:rsidRPr="001A5DA1">
        <w:rPr>
          <w:rFonts w:ascii="Arial" w:hAnsi="Arial" w:cs="Arial"/>
          <w:b/>
          <w:sz w:val="24"/>
          <w:highlight w:val="yellow"/>
          <w:u w:val="single"/>
        </w:rPr>
        <w:t>LEY GENERAL DE PROTECCIÓN DE DATOS PERSONALES EN POSESIÓN DE SUJETOS OBLIGADOS</w:t>
      </w:r>
    </w:p>
    <w:p w:rsidR="00F84F2F" w:rsidRDefault="00F84F2F" w:rsidP="00E64EFE">
      <w:pPr>
        <w:jc w:val="both"/>
        <w:rPr>
          <w:rFonts w:ascii="Arial" w:hAnsi="Arial" w:cs="Arial"/>
          <w:b/>
        </w:rPr>
      </w:pPr>
    </w:p>
    <w:p w:rsidR="001A5DA1" w:rsidRPr="001A5DA1" w:rsidRDefault="001A5DA1" w:rsidP="00E64EFE">
      <w:pPr>
        <w:jc w:val="both"/>
        <w:rPr>
          <w:rFonts w:ascii="Arial" w:hAnsi="Arial" w:cs="Arial"/>
        </w:rPr>
      </w:pPr>
      <w:r w:rsidRPr="001A5DA1">
        <w:rPr>
          <w:rFonts w:ascii="Arial" w:hAnsi="Arial" w:cs="Arial"/>
          <w:b/>
        </w:rPr>
        <w:t>Artículo 57.</w:t>
      </w:r>
      <w:r w:rsidRPr="001A5DA1">
        <w:rPr>
          <w:rFonts w:ascii="Arial" w:hAnsi="Arial" w:cs="Arial"/>
        </w:rPr>
        <w:t xml:space="preserve"> Cuando se traten datos personales por vía electrónica en un formato estructurado y comúnmente utilizado, el titular tendrá derecho a obtener del responsable una copia de los datos objeto de tratamiento en un formato electrónico estructurado y comúnmente utilizado que le permita seguir utilizándolos. </w:t>
      </w:r>
    </w:p>
    <w:p w:rsidR="001A5DA1" w:rsidRPr="001A5DA1" w:rsidRDefault="001A5DA1" w:rsidP="00E64EFE">
      <w:pPr>
        <w:jc w:val="both"/>
        <w:rPr>
          <w:rFonts w:ascii="Arial" w:hAnsi="Arial" w:cs="Arial"/>
        </w:rPr>
      </w:pPr>
      <w:r w:rsidRPr="001A5DA1">
        <w:rPr>
          <w:rFonts w:ascii="Arial" w:hAnsi="Arial" w:cs="Arial"/>
        </w:rPr>
        <w:t xml:space="preserve">Cuando el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 personales. </w:t>
      </w:r>
    </w:p>
    <w:p w:rsidR="001A5DA1" w:rsidRPr="001A5DA1" w:rsidRDefault="001A5DA1" w:rsidP="00E64EFE">
      <w:pPr>
        <w:jc w:val="both"/>
        <w:rPr>
          <w:rFonts w:ascii="Arial" w:hAnsi="Arial" w:cs="Arial"/>
        </w:rPr>
      </w:pPr>
      <w:r w:rsidRPr="001A5DA1">
        <w:rPr>
          <w:rFonts w:ascii="Arial" w:hAnsi="Arial" w:cs="Arial"/>
        </w:rPr>
        <w:t>El Sistema Nacional establecerá mediante lineamientos los parámetros a considerar para determinar los supuestos en los que se está en presencia de un formato estructurado y comúnmente utilizado, así como las normas técnicas, modalidades y procedimientos para la transferencia de datos personales.</w:t>
      </w:r>
    </w:p>
    <w:p w:rsidR="001A5DA1" w:rsidRPr="001A5DA1" w:rsidRDefault="001A5DA1" w:rsidP="00E64EFE">
      <w:pPr>
        <w:jc w:val="both"/>
        <w:rPr>
          <w:rFonts w:ascii="Arial" w:hAnsi="Arial" w:cs="Arial"/>
        </w:rPr>
      </w:pPr>
      <w:r w:rsidRPr="001A5DA1">
        <w:rPr>
          <w:rFonts w:ascii="Arial" w:hAnsi="Arial" w:cs="Arial"/>
          <w:b/>
        </w:rPr>
        <w:t>Artículo 65.</w:t>
      </w:r>
      <w:r w:rsidRPr="001A5DA1">
        <w:rPr>
          <w:rFonts w:ascii="Arial" w:hAnsi="Arial" w:cs="Arial"/>
        </w:rPr>
        <w:t xml:space="preserve"> Toda transferencia de datos personales, sea ésta nacional o internacional, se encuentra sujeta al consentimiento de su titular, salvo las excepciones previstas en los artículos 22, 66 y 70 de esta Ley.</w:t>
      </w:r>
    </w:p>
    <w:p w:rsidR="001A5DA1" w:rsidRPr="001A5DA1" w:rsidRDefault="001A5DA1" w:rsidP="00E64EFE">
      <w:pPr>
        <w:jc w:val="both"/>
        <w:rPr>
          <w:rFonts w:ascii="Arial" w:hAnsi="Arial" w:cs="Arial"/>
        </w:rPr>
      </w:pPr>
      <w:r w:rsidRPr="001A5DA1">
        <w:rPr>
          <w:rFonts w:ascii="Arial" w:hAnsi="Arial" w:cs="Arial"/>
          <w:b/>
        </w:rPr>
        <w:t>Artículo 66.</w:t>
      </w:r>
      <w:r w:rsidRPr="001A5DA1">
        <w:rPr>
          <w:rFonts w:ascii="Arial" w:hAnsi="Arial" w:cs="Arial"/>
        </w:rPr>
        <w:t xml:space="preserve"> Toda transferencia deberá formalizarse mediante la suscripción de cláusulas contractuales, convenios de colaboración o cualquier otro instrumento jurídico, de conformidad con la normatividad que le resulte aplicable al responsable, que permita demostrar el alcance del tratamiento de los datos personales, así como las obligaciones y responsabilidades asumidas por las partes. Lo dispuesto en el párrafo anterior, no será aplicable en los siguientes casos: </w:t>
      </w:r>
    </w:p>
    <w:p w:rsidR="001A5DA1" w:rsidRPr="001A5DA1" w:rsidRDefault="001A5DA1" w:rsidP="00E64EFE">
      <w:pPr>
        <w:jc w:val="both"/>
        <w:rPr>
          <w:rFonts w:ascii="Arial" w:hAnsi="Arial" w:cs="Arial"/>
        </w:rPr>
      </w:pPr>
      <w:r w:rsidRPr="001A5DA1">
        <w:rPr>
          <w:rFonts w:ascii="Arial" w:hAnsi="Arial" w:cs="Arial"/>
        </w:rPr>
        <w:t xml:space="preserve">I. Cuando la transferencia sea nacional y se realice entre responsables en virtud del cumplimiento de una disposición legal o en el ejercicio de atribuciones expresamente conferidas a éstos, o </w:t>
      </w:r>
    </w:p>
    <w:p w:rsidR="001A5DA1" w:rsidRPr="001A5DA1" w:rsidRDefault="001A5DA1" w:rsidP="00E64EFE">
      <w:pPr>
        <w:jc w:val="both"/>
        <w:rPr>
          <w:rFonts w:ascii="Arial" w:hAnsi="Arial" w:cs="Arial"/>
        </w:rPr>
      </w:pPr>
      <w:r w:rsidRPr="001A5DA1">
        <w:rPr>
          <w:rFonts w:ascii="Arial" w:hAnsi="Arial" w:cs="Arial"/>
        </w:rPr>
        <w:t xml:space="preserve">II. Cuando la transferencia sea internacional y se encuentre prevista en una ley o tratado suscrito y ratificado por México, o bien, se realice a petición de una autoridad extranjera u organismo internacional competente en su carácter de receptor, siempre y cuando las facultades entre el responsable transferente y receptor sean homólogas, o bien, las finalidades que motivan la transferencia sean análogas o compatibles respecto de aquéllas que dieron origen al tratamiento del responsable transferente. </w:t>
      </w:r>
    </w:p>
    <w:p w:rsidR="00F84F2F" w:rsidRDefault="00F84F2F" w:rsidP="00E64EFE">
      <w:pPr>
        <w:jc w:val="both"/>
        <w:rPr>
          <w:rFonts w:ascii="Arial" w:hAnsi="Arial" w:cs="Arial"/>
          <w:b/>
        </w:rPr>
      </w:pPr>
    </w:p>
    <w:p w:rsidR="00F84F2F" w:rsidRDefault="00F84F2F" w:rsidP="00E64EFE">
      <w:pPr>
        <w:jc w:val="both"/>
        <w:rPr>
          <w:rFonts w:ascii="Arial" w:hAnsi="Arial" w:cs="Arial"/>
          <w:b/>
        </w:rPr>
      </w:pPr>
    </w:p>
    <w:p w:rsidR="00F84F2F" w:rsidRDefault="00F84F2F" w:rsidP="00E64EFE">
      <w:pPr>
        <w:jc w:val="both"/>
        <w:rPr>
          <w:rFonts w:ascii="Arial" w:hAnsi="Arial" w:cs="Arial"/>
          <w:b/>
        </w:rPr>
      </w:pPr>
    </w:p>
    <w:p w:rsidR="001A5DA1" w:rsidRPr="001A5DA1" w:rsidRDefault="001A5DA1" w:rsidP="00E64EFE">
      <w:pPr>
        <w:jc w:val="both"/>
        <w:rPr>
          <w:rFonts w:ascii="Arial" w:hAnsi="Arial" w:cs="Arial"/>
        </w:rPr>
      </w:pPr>
      <w:r w:rsidRPr="001A5DA1">
        <w:rPr>
          <w:rFonts w:ascii="Arial" w:hAnsi="Arial" w:cs="Arial"/>
          <w:b/>
        </w:rPr>
        <w:t>Artículo 67.</w:t>
      </w:r>
      <w:r w:rsidRPr="001A5DA1">
        <w:rPr>
          <w:rFonts w:ascii="Arial" w:hAnsi="Arial" w:cs="Arial"/>
        </w:rPr>
        <w:t xml:space="preserve"> Cuando la transferencia sea nacional, el receptor de los datos personales deberá tratar los datos personales, comprometiéndose a garantizar su confidencialidad y </w:t>
      </w:r>
      <w:r>
        <w:rPr>
          <w:rFonts w:ascii="Arial" w:hAnsi="Arial" w:cs="Arial"/>
        </w:rPr>
        <w:t xml:space="preserve">                                                                                         </w:t>
      </w:r>
      <w:r w:rsidRPr="001A5DA1">
        <w:rPr>
          <w:rFonts w:ascii="Arial" w:hAnsi="Arial" w:cs="Arial"/>
        </w:rPr>
        <w:t xml:space="preserve">únicamente los utilizará para los fines que fueron transferidos atendiendo a lo convenido en el aviso de privacidad que le será comunicado por el responsable transferente. </w:t>
      </w:r>
    </w:p>
    <w:p w:rsidR="001A5DA1" w:rsidRPr="001A5DA1" w:rsidRDefault="001A5DA1" w:rsidP="00E64EFE">
      <w:pPr>
        <w:jc w:val="both"/>
        <w:rPr>
          <w:rFonts w:ascii="Arial" w:hAnsi="Arial" w:cs="Arial"/>
        </w:rPr>
      </w:pPr>
      <w:r w:rsidRPr="001A5DA1">
        <w:rPr>
          <w:rFonts w:ascii="Arial" w:hAnsi="Arial" w:cs="Arial"/>
          <w:b/>
        </w:rPr>
        <w:t>Artículo 68.</w:t>
      </w:r>
      <w:r w:rsidRPr="001A5DA1">
        <w:rPr>
          <w:rFonts w:ascii="Arial" w:hAnsi="Arial" w:cs="Arial"/>
        </w:rPr>
        <w:t xml:space="preserve"> El responsable sólo podrá transferir o hacer remisión de datos personales fuera del territorio nacional cuando el tercero receptor o el encargado se </w:t>
      </w:r>
      <w:proofErr w:type="gramStart"/>
      <w:r w:rsidRPr="001A5DA1">
        <w:rPr>
          <w:rFonts w:ascii="Arial" w:hAnsi="Arial" w:cs="Arial"/>
        </w:rPr>
        <w:t>obligue</w:t>
      </w:r>
      <w:proofErr w:type="gramEnd"/>
      <w:r w:rsidRPr="001A5DA1">
        <w:rPr>
          <w:rFonts w:ascii="Arial" w:hAnsi="Arial" w:cs="Arial"/>
        </w:rPr>
        <w:t xml:space="preserve"> a proteger los datos personales conforme a los principios y deberes que establece la presente Ley y las disposiciones que resulten aplicables en la materia. </w:t>
      </w:r>
    </w:p>
    <w:p w:rsidR="001A5DA1" w:rsidRPr="001A5DA1" w:rsidRDefault="001A5DA1" w:rsidP="00E64EFE">
      <w:pPr>
        <w:jc w:val="both"/>
        <w:rPr>
          <w:rFonts w:ascii="Arial" w:hAnsi="Arial" w:cs="Arial"/>
        </w:rPr>
      </w:pPr>
      <w:r w:rsidRPr="001A5DA1">
        <w:rPr>
          <w:rFonts w:ascii="Arial" w:hAnsi="Arial" w:cs="Arial"/>
          <w:b/>
        </w:rPr>
        <w:t>Artículo 69.</w:t>
      </w:r>
      <w:r w:rsidRPr="001A5DA1">
        <w:rPr>
          <w:rFonts w:ascii="Arial" w:hAnsi="Arial" w:cs="Arial"/>
        </w:rPr>
        <w:t xml:space="preserve"> En toda transferencia de datos personales, el responsable deberá comunicar al receptor de los datos personales el aviso de privacidad conforme al cual se tratan los datos personales frente al titular. </w:t>
      </w:r>
    </w:p>
    <w:p w:rsidR="001A5DA1" w:rsidRPr="001A5DA1" w:rsidRDefault="001A5DA1" w:rsidP="00E64EFE">
      <w:pPr>
        <w:jc w:val="both"/>
        <w:rPr>
          <w:rFonts w:ascii="Arial" w:hAnsi="Arial" w:cs="Arial"/>
        </w:rPr>
      </w:pPr>
      <w:r w:rsidRPr="001A5DA1">
        <w:rPr>
          <w:rFonts w:ascii="Arial" w:hAnsi="Arial" w:cs="Arial"/>
          <w:b/>
        </w:rPr>
        <w:t xml:space="preserve">Artículo 70. </w:t>
      </w:r>
      <w:r w:rsidRPr="001A5DA1">
        <w:rPr>
          <w:rFonts w:ascii="Arial" w:hAnsi="Arial" w:cs="Arial"/>
        </w:rPr>
        <w:t xml:space="preserve">El responsable podrá realizar transferencias de datos personales sin necesidad de requerir el consentimiento del titular, en los siguientes supuestos: </w:t>
      </w:r>
    </w:p>
    <w:p w:rsidR="001A5DA1" w:rsidRPr="001A5DA1" w:rsidRDefault="001A5DA1" w:rsidP="001A5DA1">
      <w:pPr>
        <w:ind w:left="708"/>
        <w:jc w:val="both"/>
        <w:rPr>
          <w:rFonts w:ascii="Arial" w:hAnsi="Arial" w:cs="Arial"/>
        </w:rPr>
      </w:pPr>
      <w:r w:rsidRPr="001A5DA1">
        <w:rPr>
          <w:rFonts w:ascii="Arial" w:hAnsi="Arial" w:cs="Arial"/>
        </w:rPr>
        <w:t xml:space="preserve">I. Cuando la transferencia esté prevista en esta Ley u otras leyes, convenios o Tratados Internacionales suscritos y ratificados por México; </w:t>
      </w:r>
    </w:p>
    <w:p w:rsidR="001A5DA1" w:rsidRPr="001A5DA1" w:rsidRDefault="001A5DA1" w:rsidP="001A5DA1">
      <w:pPr>
        <w:ind w:left="708"/>
        <w:jc w:val="both"/>
        <w:rPr>
          <w:rFonts w:ascii="Arial" w:hAnsi="Arial" w:cs="Arial"/>
        </w:rPr>
      </w:pPr>
      <w:r w:rsidRPr="001A5DA1">
        <w:rPr>
          <w:rFonts w:ascii="Arial" w:hAnsi="Arial" w:cs="Arial"/>
        </w:rPr>
        <w:t>II. Cuando la transferencia se realice entre responsables, siempre y cuando los datos personales se utilicen para el ejercicio de facultades propias, compatibles o análogas con la finalidad que motivó el tratamiento de los datos personales</w:t>
      </w:r>
      <w:r w:rsidRPr="001A5DA1">
        <w:rPr>
          <w:rFonts w:ascii="Arial" w:hAnsi="Arial" w:cs="Arial"/>
        </w:rPr>
        <w:t>;</w:t>
      </w:r>
    </w:p>
    <w:p w:rsidR="001A5DA1" w:rsidRPr="001A5DA1" w:rsidRDefault="001A5DA1" w:rsidP="001A5DA1">
      <w:pPr>
        <w:ind w:left="708"/>
        <w:jc w:val="both"/>
        <w:rPr>
          <w:rFonts w:ascii="Arial" w:hAnsi="Arial" w:cs="Arial"/>
        </w:rPr>
      </w:pPr>
      <w:r w:rsidRPr="001A5DA1">
        <w:rPr>
          <w:rFonts w:ascii="Arial" w:hAnsi="Arial" w:cs="Arial"/>
        </w:rPr>
        <w:t>III. Cuando la transferencia sea legalmente exigida para la investigación y persecución de los delitos, así como la procuración o administración de justicia;</w:t>
      </w:r>
    </w:p>
    <w:p w:rsidR="001A5DA1" w:rsidRPr="001A5DA1" w:rsidRDefault="001A5DA1" w:rsidP="001A5DA1">
      <w:pPr>
        <w:ind w:left="708"/>
        <w:jc w:val="both"/>
        <w:rPr>
          <w:rFonts w:ascii="Arial" w:hAnsi="Arial" w:cs="Arial"/>
        </w:rPr>
      </w:pPr>
      <w:r w:rsidRPr="001A5DA1">
        <w:rPr>
          <w:rFonts w:ascii="Arial" w:hAnsi="Arial" w:cs="Arial"/>
        </w:rPr>
        <w:t xml:space="preserve">IV. Cuando la transferencia sea precisa para el reconocimiento, ejercicio o defensa de un derecho ante autoridad competente, siempre y cuando medie el requerimiento de esta última; </w:t>
      </w:r>
    </w:p>
    <w:p w:rsidR="001A5DA1" w:rsidRPr="001A5DA1" w:rsidRDefault="001A5DA1" w:rsidP="001A5DA1">
      <w:pPr>
        <w:ind w:left="708"/>
        <w:jc w:val="both"/>
        <w:rPr>
          <w:rFonts w:ascii="Arial" w:hAnsi="Arial" w:cs="Arial"/>
        </w:rPr>
      </w:pPr>
      <w:r w:rsidRPr="001A5DA1">
        <w:rPr>
          <w:rFonts w:ascii="Arial" w:hAnsi="Arial" w:cs="Arial"/>
        </w:rPr>
        <w:t xml:space="preserve">V. Cuando la transferencia sea necesaria para la prevención o el diagnóstico médico, la prestación de asistencia sanitaria, tratamiento médico o la gestión de servicios sanitarios, siempre y cuando dichos fines sean acreditados; </w:t>
      </w:r>
    </w:p>
    <w:p w:rsidR="001A5DA1" w:rsidRPr="001A5DA1" w:rsidRDefault="001A5DA1" w:rsidP="001A5DA1">
      <w:pPr>
        <w:ind w:left="708"/>
        <w:jc w:val="both"/>
        <w:rPr>
          <w:rFonts w:ascii="Arial" w:hAnsi="Arial" w:cs="Arial"/>
        </w:rPr>
      </w:pPr>
      <w:r w:rsidRPr="001A5DA1">
        <w:rPr>
          <w:rFonts w:ascii="Arial" w:hAnsi="Arial" w:cs="Arial"/>
        </w:rPr>
        <w:t xml:space="preserve">VI. Cuando la transferencia sea precisa para el mantenimiento o cumplimiento de una relación jurídica entre el responsable y el titular; </w:t>
      </w:r>
    </w:p>
    <w:p w:rsidR="001A5DA1" w:rsidRPr="001A5DA1" w:rsidRDefault="001A5DA1" w:rsidP="001A5DA1">
      <w:pPr>
        <w:ind w:left="708"/>
        <w:jc w:val="both"/>
        <w:rPr>
          <w:rFonts w:ascii="Arial" w:hAnsi="Arial" w:cs="Arial"/>
        </w:rPr>
      </w:pPr>
      <w:r w:rsidRPr="001A5DA1">
        <w:rPr>
          <w:rFonts w:ascii="Arial" w:hAnsi="Arial" w:cs="Arial"/>
        </w:rPr>
        <w:t>VII. Cuando la transferencia sea necesaria por virtud de un contrato celebrado o por celebrar en interés del titular, por el responsable y un tercero;</w:t>
      </w:r>
    </w:p>
    <w:p w:rsidR="001A5DA1" w:rsidRPr="001A5DA1" w:rsidRDefault="001A5DA1" w:rsidP="001A5DA1">
      <w:pPr>
        <w:ind w:left="708"/>
        <w:jc w:val="both"/>
        <w:rPr>
          <w:rFonts w:ascii="Arial" w:hAnsi="Arial" w:cs="Arial"/>
        </w:rPr>
      </w:pPr>
      <w:r w:rsidRPr="001A5DA1">
        <w:rPr>
          <w:rFonts w:ascii="Arial" w:hAnsi="Arial" w:cs="Arial"/>
        </w:rPr>
        <w:t xml:space="preserve">VIII. Cuando se trate de los casos en los que el responsable no esté obligado a recabar el consentimiento del titular para el tratamiento y transmisión de sus datos personales, conforme a lo dispuesto en el artículo 22 de la presente Ley, o </w:t>
      </w:r>
    </w:p>
    <w:p w:rsidR="001A5DA1" w:rsidRPr="001A5DA1" w:rsidRDefault="001A5DA1" w:rsidP="001A5DA1">
      <w:pPr>
        <w:ind w:left="708"/>
        <w:jc w:val="both"/>
        <w:rPr>
          <w:rFonts w:ascii="Arial" w:hAnsi="Arial" w:cs="Arial"/>
        </w:rPr>
      </w:pPr>
      <w:r w:rsidRPr="001A5DA1">
        <w:rPr>
          <w:rFonts w:ascii="Arial" w:hAnsi="Arial" w:cs="Arial"/>
        </w:rPr>
        <w:t xml:space="preserve">IX. Cuando la transferencia sea necesaria por razones de seguridad nacional. La actualización de algunas de las excepciones previstas en este artículo, no exime al responsable de cumplir con las obligaciones previstas en el presente Capítulo que resulten aplicables. </w:t>
      </w:r>
    </w:p>
    <w:p w:rsidR="00F84F2F" w:rsidRDefault="00F84F2F" w:rsidP="00E64EFE">
      <w:pPr>
        <w:jc w:val="both"/>
        <w:rPr>
          <w:rFonts w:ascii="Arial" w:hAnsi="Arial" w:cs="Arial"/>
          <w:b/>
        </w:rPr>
      </w:pPr>
    </w:p>
    <w:p w:rsidR="00F84F2F" w:rsidRDefault="00F84F2F" w:rsidP="00E64EFE">
      <w:pPr>
        <w:jc w:val="both"/>
        <w:rPr>
          <w:rFonts w:ascii="Arial" w:hAnsi="Arial" w:cs="Arial"/>
          <w:b/>
        </w:rPr>
      </w:pPr>
    </w:p>
    <w:p w:rsidR="001A5DA1" w:rsidRPr="001A5DA1" w:rsidRDefault="001A5DA1" w:rsidP="00E64EFE">
      <w:pPr>
        <w:jc w:val="both"/>
        <w:rPr>
          <w:rFonts w:ascii="Arial" w:hAnsi="Arial" w:cs="Arial"/>
          <w:b/>
        </w:rPr>
      </w:pPr>
      <w:bookmarkStart w:id="0" w:name="_GoBack"/>
      <w:bookmarkEnd w:id="0"/>
      <w:r w:rsidRPr="001A5DA1">
        <w:rPr>
          <w:rFonts w:ascii="Arial" w:hAnsi="Arial" w:cs="Arial"/>
          <w:b/>
        </w:rPr>
        <w:t>Artículo 71.</w:t>
      </w:r>
      <w:r w:rsidRPr="001A5DA1">
        <w:rPr>
          <w:rFonts w:ascii="Arial" w:hAnsi="Arial" w:cs="Arial"/>
        </w:rPr>
        <w:t xml:space="preserve"> Las remisiones nacionales e internacionales de datos personales que se realicen entre responsable y encargado no requerirán ser informadas al titular, ni contar con su consentimiento.</w:t>
      </w:r>
    </w:p>
    <w:sectPr w:rsidR="001A5DA1" w:rsidRPr="001A5DA1" w:rsidSect="0056657A">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8D8" w:rsidRDefault="00A658D8" w:rsidP="0056657A">
      <w:pPr>
        <w:spacing w:after="0" w:line="240" w:lineRule="auto"/>
      </w:pPr>
      <w:r>
        <w:separator/>
      </w:r>
    </w:p>
  </w:endnote>
  <w:endnote w:type="continuationSeparator" w:id="0">
    <w:p w:rsidR="00A658D8" w:rsidRDefault="00A658D8" w:rsidP="0056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CA" w:rsidRDefault="004534FD">
    <w:pPr>
      <w:pStyle w:val="Piedepgina"/>
    </w:pPr>
    <w:r>
      <w:rPr>
        <w:noProof/>
        <w:lang w:eastAsia="es-MX"/>
      </w:rPr>
      <mc:AlternateContent>
        <mc:Choice Requires="wps">
          <w:drawing>
            <wp:anchor distT="45720" distB="45720" distL="114300" distR="114300" simplePos="0" relativeHeight="251656192" behindDoc="0" locked="0" layoutInCell="1" allowOverlap="1">
              <wp:simplePos x="0" y="0"/>
              <wp:positionH relativeFrom="margin">
                <wp:posOffset>148590</wp:posOffset>
              </wp:positionH>
              <wp:positionV relativeFrom="paragraph">
                <wp:posOffset>-284480</wp:posOffset>
              </wp:positionV>
              <wp:extent cx="5019675" cy="47625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476250"/>
                      </a:xfrm>
                      <a:prstGeom prst="rect">
                        <a:avLst/>
                      </a:prstGeom>
                      <a:solidFill>
                        <a:srgbClr val="FFFFFF"/>
                      </a:solidFill>
                      <a:ln w="9525">
                        <a:noFill/>
                        <a:miter lim="800000"/>
                        <a:headEnd/>
                        <a:tailEnd/>
                      </a:ln>
                    </wps:spPr>
                    <wps:txbx>
                      <w:txbxContent>
                        <w:p w:rsidR="00DF75CA" w:rsidRPr="00DF75CA" w:rsidRDefault="00DF75CA" w:rsidP="00DF75CA">
                          <w:pPr>
                            <w:pStyle w:val="Sinespaciado"/>
                            <w:jc w:val="center"/>
                            <w:rPr>
                              <w:rFonts w:ascii="Arial" w:hAnsi="Arial" w:cs="Arial"/>
                              <w:sz w:val="18"/>
                              <w:szCs w:val="18"/>
                            </w:rPr>
                          </w:pPr>
                          <w:r w:rsidRPr="00DF75CA">
                            <w:rPr>
                              <w:rFonts w:ascii="Arial" w:hAnsi="Arial" w:cs="Arial"/>
                              <w:sz w:val="18"/>
                              <w:szCs w:val="18"/>
                            </w:rPr>
                            <w:t>Calle Moneda s/n esq. Callejón Carrasco, Col. Tlalpan Centro</w:t>
                          </w:r>
                        </w:p>
                        <w:p w:rsidR="00DF75CA" w:rsidRPr="00DF75CA" w:rsidRDefault="00DF75CA" w:rsidP="00DF75CA">
                          <w:pPr>
                            <w:pStyle w:val="Sinespaciado"/>
                            <w:jc w:val="center"/>
                            <w:rPr>
                              <w:rFonts w:ascii="Arial" w:hAnsi="Arial" w:cs="Arial"/>
                              <w:sz w:val="18"/>
                              <w:szCs w:val="18"/>
                            </w:rPr>
                          </w:pPr>
                          <w:r w:rsidRPr="00DF75CA">
                            <w:rPr>
                              <w:rFonts w:ascii="Arial" w:hAnsi="Arial" w:cs="Arial"/>
                              <w:sz w:val="18"/>
                              <w:szCs w:val="18"/>
                            </w:rPr>
                            <w:t>Alcaldía Tlalpan, C.P. 14000</w:t>
                          </w:r>
                          <w:r>
                            <w:rPr>
                              <w:rFonts w:ascii="Arial" w:hAnsi="Arial" w:cs="Arial"/>
                              <w:sz w:val="18"/>
                              <w:szCs w:val="18"/>
                            </w:rPr>
                            <w:t xml:space="preserve">  Teléfono 55 89-57-20-77 y 20 78</w:t>
                          </w:r>
                        </w:p>
                        <w:p w:rsidR="00DF75CA" w:rsidRPr="00DF75CA" w:rsidRDefault="00DF75CA" w:rsidP="00DF75CA">
                          <w:pPr>
                            <w:pStyle w:val="Sinespaciado"/>
                            <w:jc w:val="center"/>
                            <w:rPr>
                              <w:rFonts w:ascii="Arial" w:hAnsi="Arial" w:cs="Arial"/>
                              <w:sz w:val="18"/>
                              <w:szCs w:val="18"/>
                            </w:rPr>
                          </w:pPr>
                        </w:p>
                        <w:p w:rsidR="00DF75CA" w:rsidRPr="00DF75CA" w:rsidRDefault="00DF75CA" w:rsidP="00DF75CA">
                          <w:pPr>
                            <w:pStyle w:val="Piedepgina"/>
                            <w:rPr>
                              <w:sz w:val="20"/>
                              <w:szCs w:val="20"/>
                            </w:rPr>
                          </w:pPr>
                        </w:p>
                        <w:p w:rsidR="00DF75CA" w:rsidRDefault="00DF75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7pt;margin-top:-22.4pt;width:395.25pt;height: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" stroked="f">
              <v:textbox>
                <w:txbxContent>
                  <w:p w:rsidR="00DF75CA" w:rsidRPr="00DF75CA" w:rsidRDefault="00DF75CA" w:rsidP="00DF75CA">
                    <w:pPr>
                      <w:pStyle w:val="Sinespaciado"/>
                      <w:jc w:val="center"/>
                      <w:rPr>
                        <w:rFonts w:ascii="Arial" w:hAnsi="Arial" w:cs="Arial"/>
                        <w:sz w:val="18"/>
                        <w:szCs w:val="18"/>
                      </w:rPr>
                    </w:pPr>
                    <w:r w:rsidRPr="00DF75CA">
                      <w:rPr>
                        <w:rFonts w:ascii="Arial" w:hAnsi="Arial" w:cs="Arial"/>
                        <w:sz w:val="18"/>
                        <w:szCs w:val="18"/>
                      </w:rPr>
                      <w:t>Calle Moneda s/n esq. Callejón Carrasco, Col. Tlalpan Centro</w:t>
                    </w:r>
                  </w:p>
                  <w:p w:rsidR="00DF75CA" w:rsidRPr="00DF75CA" w:rsidRDefault="00DF75CA" w:rsidP="00DF75CA">
                    <w:pPr>
                      <w:pStyle w:val="Sinespaciado"/>
                      <w:jc w:val="center"/>
                      <w:rPr>
                        <w:rFonts w:ascii="Arial" w:hAnsi="Arial" w:cs="Arial"/>
                        <w:sz w:val="18"/>
                        <w:szCs w:val="18"/>
                      </w:rPr>
                    </w:pPr>
                    <w:r w:rsidRPr="00DF75CA">
                      <w:rPr>
                        <w:rFonts w:ascii="Arial" w:hAnsi="Arial" w:cs="Arial"/>
                        <w:sz w:val="18"/>
                        <w:szCs w:val="18"/>
                      </w:rPr>
                      <w:t>Alcaldía Tlalpan, C.P. 14000</w:t>
                    </w:r>
                    <w:r>
                      <w:rPr>
                        <w:rFonts w:ascii="Arial" w:hAnsi="Arial" w:cs="Arial"/>
                        <w:sz w:val="18"/>
                        <w:szCs w:val="18"/>
                      </w:rPr>
                      <w:t xml:space="preserve">  Teléfono 55 89-57-20-77 y 20 78</w:t>
                    </w:r>
                  </w:p>
                  <w:p w:rsidR="00DF75CA" w:rsidRPr="00DF75CA" w:rsidRDefault="00DF75CA" w:rsidP="00DF75CA">
                    <w:pPr>
                      <w:pStyle w:val="Sinespaciado"/>
                      <w:jc w:val="center"/>
                      <w:rPr>
                        <w:rFonts w:ascii="Arial" w:hAnsi="Arial" w:cs="Arial"/>
                        <w:sz w:val="18"/>
                        <w:szCs w:val="18"/>
                      </w:rPr>
                    </w:pPr>
                  </w:p>
                  <w:p w:rsidR="00DF75CA" w:rsidRPr="00DF75CA" w:rsidRDefault="00DF75CA" w:rsidP="00DF75CA">
                    <w:pPr>
                      <w:pStyle w:val="Piedepgina"/>
                      <w:rPr>
                        <w:sz w:val="20"/>
                        <w:szCs w:val="20"/>
                      </w:rPr>
                    </w:pPr>
                  </w:p>
                  <w:p w:rsidR="00DF75CA" w:rsidRDefault="00DF75CA"/>
                </w:txbxContent>
              </v:textbox>
              <w10:wrap type="square" anchorx="margin"/>
            </v:shape>
          </w:pict>
        </mc:Fallback>
      </mc:AlternateContent>
    </w:r>
    <w:r>
      <w:rPr>
        <w:noProof/>
        <w:lang w:eastAsia="es-MX"/>
      </w:rPr>
      <w:drawing>
        <wp:anchor distT="0" distB="0" distL="114300" distR="114300" simplePos="0" relativeHeight="251657216" behindDoc="1" locked="0" layoutInCell="1" allowOverlap="1">
          <wp:simplePos x="0" y="0"/>
          <wp:positionH relativeFrom="column">
            <wp:posOffset>-946785</wp:posOffset>
          </wp:positionH>
          <wp:positionV relativeFrom="paragraph">
            <wp:posOffset>-1036955</wp:posOffset>
          </wp:positionV>
          <wp:extent cx="7427595" cy="155193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350" cy="1579459"/>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8D8" w:rsidRDefault="00A658D8" w:rsidP="0056657A">
      <w:pPr>
        <w:spacing w:after="0" w:line="240" w:lineRule="auto"/>
      </w:pPr>
      <w:r>
        <w:separator/>
      </w:r>
    </w:p>
  </w:footnote>
  <w:footnote w:type="continuationSeparator" w:id="0">
    <w:p w:rsidR="00A658D8" w:rsidRDefault="00A658D8" w:rsidP="00566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7A" w:rsidRPr="00176D07" w:rsidRDefault="00A658D8" w:rsidP="00176D0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64.2pt;margin-top:-17.65pt;width:572.25pt;height:105pt;z-index:-251657216;mso-position-horizontal-relative:text;mso-position-vertical-relative:text;mso-width-relative:page;mso-height-relative:page">
          <v:imagedata r:id="rId1" o:title="membrete (HOJA)_Mesa de trabajo 1 copia" croptop="1427f" cropbottom="49328f"/>
        </v:shape>
      </w:pict>
    </w:r>
    <w:r w:rsidR="00AF7D1B">
      <w:rPr>
        <w:noProof/>
        <w:lang w:eastAsia="es-MX"/>
      </w:rPr>
      <mc:AlternateContent>
        <mc:Choice Requires="wps">
          <w:drawing>
            <wp:anchor distT="0" distB="0" distL="114300" distR="114300" simplePos="0" relativeHeight="251658240" behindDoc="1" locked="0" layoutInCell="1" allowOverlap="1" wp14:anchorId="024902DB" wp14:editId="45FF33CC">
              <wp:simplePos x="0" y="0"/>
              <wp:positionH relativeFrom="column">
                <wp:posOffset>1339215</wp:posOffset>
              </wp:positionH>
              <wp:positionV relativeFrom="paragraph">
                <wp:posOffset>379095</wp:posOffset>
              </wp:positionV>
              <wp:extent cx="3348553" cy="285007"/>
              <wp:effectExtent l="0" t="0" r="23495" b="20320"/>
              <wp:wrapNone/>
              <wp:docPr id="2" name="Cuadro de texto 2"/>
              <wp:cNvGraphicFramePr/>
              <a:graphic xmlns:a="http://schemas.openxmlformats.org/drawingml/2006/main">
                <a:graphicData uri="http://schemas.microsoft.com/office/word/2010/wordprocessingShape">
                  <wps:wsp>
                    <wps:cNvSpPr txBox="1"/>
                    <wps:spPr>
                      <a:xfrm>
                        <a:off x="0" y="0"/>
                        <a:ext cx="3348553" cy="285007"/>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DD5F63" w:rsidRPr="008701AB" w:rsidRDefault="00DD5F63" w:rsidP="00DD5F63">
                          <w:pPr>
                            <w:jc w:val="center"/>
                            <w:rPr>
                              <w:rFonts w:ascii="CG Omega" w:hAnsi="CG Omega" w:cs="Arial"/>
                              <w:b/>
                              <w:color w:val="808080" w:themeColor="background1" w:themeShade="80"/>
                              <w:sz w:val="18"/>
                            </w:rPr>
                          </w:pPr>
                          <w:r w:rsidRPr="008701AB">
                            <w:rPr>
                              <w:rFonts w:ascii="CG Omega" w:hAnsi="CG Omega" w:cs="Arial"/>
                              <w:b/>
                              <w:color w:val="808080" w:themeColor="background1" w:themeShade="80"/>
                              <w:sz w:val="18"/>
                            </w:rPr>
                            <w:t>SUBDIRECCIÓN DE CUMPLIMIENTO DE AUDITORÍAS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902DB" id="_x0000_t202" coordsize="21600,21600" o:spt="202" path="m,l,21600r21600,l21600,xe">
              <v:stroke joinstyle="miter"/>
              <v:path gradientshapeok="t" o:connecttype="rect"/>
            </v:shapetype>
            <v:shape id="Cuadro de texto 2" o:spid="_x0000_s1026" type="#_x0000_t202" style="position:absolute;margin-left:105.45pt;margin-top:29.85pt;width:263.65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" fillcolor="white [3201]" strokecolor="white [3212]" strokeweight="1pt">
              <v:textbox>
                <w:txbxContent>
                  <w:p w:rsidR="00DD5F63" w:rsidRPr="008701AB" w:rsidRDefault="00DD5F63" w:rsidP="00DD5F63">
                    <w:pPr>
                      <w:jc w:val="center"/>
                      <w:rPr>
                        <w:rFonts w:ascii="CG Omega" w:hAnsi="CG Omega" w:cs="Arial"/>
                        <w:b/>
                        <w:color w:val="808080" w:themeColor="background1" w:themeShade="80"/>
                        <w:sz w:val="18"/>
                      </w:rPr>
                    </w:pPr>
                    <w:r w:rsidRPr="008701AB">
                      <w:rPr>
                        <w:rFonts w:ascii="CG Omega" w:hAnsi="CG Omega" w:cs="Arial"/>
                        <w:b/>
                        <w:color w:val="808080" w:themeColor="background1" w:themeShade="80"/>
                        <w:sz w:val="18"/>
                      </w:rPr>
                      <w:t>SUBDIRECCIÓN DE CUMPLIMIENTO DE AUDITORÍAS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A67797"/>
    <w:multiLevelType w:val="hybridMultilevel"/>
    <w:tmpl w:val="16E823BE"/>
    <w:lvl w:ilvl="0" w:tplc="0D445090">
      <w:start w:val="1"/>
      <w:numFmt w:val="lowerLetter"/>
      <w:lvlText w:val="%1)"/>
      <w:lvlJc w:val="left"/>
      <w:pPr>
        <w:ind w:left="1821" w:hanging="36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57A"/>
    <w:rsid w:val="00053A76"/>
    <w:rsid w:val="00072A5F"/>
    <w:rsid w:val="000A3F7F"/>
    <w:rsid w:val="001169BC"/>
    <w:rsid w:val="00142403"/>
    <w:rsid w:val="001441A2"/>
    <w:rsid w:val="00146ABD"/>
    <w:rsid w:val="00176D07"/>
    <w:rsid w:val="00183E7D"/>
    <w:rsid w:val="001A5DA1"/>
    <w:rsid w:val="00236D6B"/>
    <w:rsid w:val="0027255E"/>
    <w:rsid w:val="00284F20"/>
    <w:rsid w:val="00285388"/>
    <w:rsid w:val="0029085A"/>
    <w:rsid w:val="002B0EFD"/>
    <w:rsid w:val="002C6204"/>
    <w:rsid w:val="0032108B"/>
    <w:rsid w:val="00390A0B"/>
    <w:rsid w:val="003963F7"/>
    <w:rsid w:val="003D6559"/>
    <w:rsid w:val="00452717"/>
    <w:rsid w:val="004534FD"/>
    <w:rsid w:val="00464951"/>
    <w:rsid w:val="004A6B9B"/>
    <w:rsid w:val="004C450E"/>
    <w:rsid w:val="0052312D"/>
    <w:rsid w:val="0056657A"/>
    <w:rsid w:val="00604031"/>
    <w:rsid w:val="00617DDE"/>
    <w:rsid w:val="00681FAD"/>
    <w:rsid w:val="00686085"/>
    <w:rsid w:val="00747087"/>
    <w:rsid w:val="0075042D"/>
    <w:rsid w:val="00782102"/>
    <w:rsid w:val="007850EB"/>
    <w:rsid w:val="007C01E6"/>
    <w:rsid w:val="007E3748"/>
    <w:rsid w:val="00815E94"/>
    <w:rsid w:val="00844FE2"/>
    <w:rsid w:val="008701AB"/>
    <w:rsid w:val="008C34B1"/>
    <w:rsid w:val="00910A21"/>
    <w:rsid w:val="00912845"/>
    <w:rsid w:val="0094768E"/>
    <w:rsid w:val="0099561C"/>
    <w:rsid w:val="009C7C89"/>
    <w:rsid w:val="009E353D"/>
    <w:rsid w:val="009F3526"/>
    <w:rsid w:val="00A658D8"/>
    <w:rsid w:val="00A8022D"/>
    <w:rsid w:val="00AB4B68"/>
    <w:rsid w:val="00AF7D1B"/>
    <w:rsid w:val="00B27959"/>
    <w:rsid w:val="00BF696C"/>
    <w:rsid w:val="00C16A8C"/>
    <w:rsid w:val="00C27E1A"/>
    <w:rsid w:val="00C36BA3"/>
    <w:rsid w:val="00C41945"/>
    <w:rsid w:val="00C7300E"/>
    <w:rsid w:val="00C90AA9"/>
    <w:rsid w:val="00D33926"/>
    <w:rsid w:val="00D9486F"/>
    <w:rsid w:val="00DA118C"/>
    <w:rsid w:val="00DB384C"/>
    <w:rsid w:val="00DC5EEC"/>
    <w:rsid w:val="00DD5F63"/>
    <w:rsid w:val="00DF75CA"/>
    <w:rsid w:val="00E07CC9"/>
    <w:rsid w:val="00E32AE7"/>
    <w:rsid w:val="00E43139"/>
    <w:rsid w:val="00E64EFE"/>
    <w:rsid w:val="00EB1A0E"/>
    <w:rsid w:val="00F2133B"/>
    <w:rsid w:val="00F84F2F"/>
    <w:rsid w:val="00FC6E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355D36FF-4229-47AD-937C-7531312F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5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657A"/>
  </w:style>
  <w:style w:type="paragraph" w:styleId="Piedepgina">
    <w:name w:val="footer"/>
    <w:basedOn w:val="Normal"/>
    <w:link w:val="PiedepginaCar"/>
    <w:uiPriority w:val="99"/>
    <w:unhideWhenUsed/>
    <w:rsid w:val="005665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657A"/>
  </w:style>
  <w:style w:type="paragraph" w:styleId="Textodeglobo">
    <w:name w:val="Balloon Text"/>
    <w:basedOn w:val="Normal"/>
    <w:link w:val="TextodegloboCar"/>
    <w:uiPriority w:val="99"/>
    <w:semiHidden/>
    <w:unhideWhenUsed/>
    <w:rsid w:val="002853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5388"/>
    <w:rPr>
      <w:rFonts w:ascii="Segoe UI" w:hAnsi="Segoe UI" w:cs="Segoe UI"/>
      <w:sz w:val="18"/>
      <w:szCs w:val="18"/>
    </w:rPr>
  </w:style>
  <w:style w:type="paragraph" w:styleId="Sinespaciado">
    <w:name w:val="No Spacing"/>
    <w:uiPriority w:val="1"/>
    <w:qFormat/>
    <w:rsid w:val="00DF75CA"/>
    <w:pPr>
      <w:spacing w:after="0" w:line="240" w:lineRule="auto"/>
    </w:pPr>
  </w:style>
  <w:style w:type="paragraph" w:styleId="Textoindependiente">
    <w:name w:val="Body Text"/>
    <w:basedOn w:val="Normal"/>
    <w:link w:val="TextoindependienteCar"/>
    <w:uiPriority w:val="99"/>
    <w:unhideWhenUsed/>
    <w:rsid w:val="004A6B9B"/>
    <w:pPr>
      <w:spacing w:after="120"/>
    </w:pPr>
  </w:style>
  <w:style w:type="character" w:customStyle="1" w:styleId="TextoindependienteCar">
    <w:name w:val="Texto independiente Car"/>
    <w:basedOn w:val="Fuentedeprrafopredeter"/>
    <w:link w:val="Textoindependiente"/>
    <w:uiPriority w:val="99"/>
    <w:rsid w:val="004A6B9B"/>
  </w:style>
  <w:style w:type="table" w:styleId="Tablaconcuadrcula">
    <w:name w:val="Table Grid"/>
    <w:basedOn w:val="Tablanormal"/>
    <w:uiPriority w:val="39"/>
    <w:rsid w:val="004A6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4A6B9B"/>
    <w:pPr>
      <w:ind w:left="283" w:hanging="283"/>
      <w:contextualSpacing/>
    </w:pPr>
  </w:style>
  <w:style w:type="paragraph" w:styleId="Prrafodelista">
    <w:name w:val="List Paragraph"/>
    <w:basedOn w:val="Normal"/>
    <w:uiPriority w:val="34"/>
    <w:qFormat/>
    <w:rsid w:val="00390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A247-7FD8-41A2-B3AC-0FCDA8E8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3800</Words>
  <Characters>20905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2021-10-20T18:12:00Z</cp:lastPrinted>
  <dcterms:created xsi:type="dcterms:W3CDTF">2021-10-21T18:17:00Z</dcterms:created>
  <dcterms:modified xsi:type="dcterms:W3CDTF">2021-10-21T19:44:00Z</dcterms:modified>
</cp:coreProperties>
</file>